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BBE13" w14:textId="2D213ACA" w:rsidR="00F07C8B" w:rsidRDefault="00F07C8B" w:rsidP="00BF5BDB">
      <w:pPr>
        <w:pStyle w:val="Title"/>
        <w:rPr>
          <w:lang w:val="es-ES"/>
        </w:rPr>
      </w:pPr>
      <w:r>
        <w:rPr>
          <w:lang w:val="es-ES"/>
        </w:rPr>
        <w:t>Proyecciones de datos por medio de software de Capacidad de Carga (CAPCA)</w:t>
      </w:r>
    </w:p>
    <w:p w14:paraId="75F719F4" w14:textId="1E7E7408" w:rsidR="00FF6161" w:rsidRDefault="00FF6161" w:rsidP="00FF6161">
      <w:pPr>
        <w:pStyle w:val="Heading1"/>
        <w:rPr>
          <w:lang w:val="es-ES"/>
        </w:rPr>
      </w:pPr>
      <w:r>
        <w:rPr>
          <w:lang w:val="es-ES"/>
        </w:rPr>
        <w:t>General</w:t>
      </w:r>
    </w:p>
    <w:p w14:paraId="2624BC72" w14:textId="25F653BC" w:rsidR="004350D6" w:rsidRDefault="003F24D1">
      <w:pPr>
        <w:rPr>
          <w:lang w:val="es-ES"/>
        </w:rPr>
      </w:pPr>
      <w:r w:rsidRPr="003F24D1">
        <w:rPr>
          <w:lang w:val="es-ES"/>
        </w:rPr>
        <w:t>Se incluye dato</w:t>
      </w:r>
      <w:r w:rsidR="00481685">
        <w:rPr>
          <w:lang w:val="es-ES"/>
        </w:rPr>
        <w:t>s de simulaciones</w:t>
      </w:r>
      <w:r w:rsidRPr="003F24D1">
        <w:rPr>
          <w:lang w:val="es-ES"/>
        </w:rPr>
        <w:t xml:space="preserve"> a nivel mensual</w:t>
      </w:r>
      <w:r w:rsidR="00481685">
        <w:rPr>
          <w:lang w:val="es-ES"/>
        </w:rPr>
        <w:t xml:space="preserve"> en base a tendencias históricas del PIB per cápita nacional, ingresos per cápita comunal y </w:t>
      </w:r>
      <w:r w:rsidR="0039791D">
        <w:rPr>
          <w:lang w:val="es-ES"/>
        </w:rPr>
        <w:t xml:space="preserve">niveles de educación (personas mayores de 18 años con educación secundaria completa) </w:t>
      </w:r>
      <w:r w:rsidR="00481685">
        <w:rPr>
          <w:lang w:val="es-ES"/>
        </w:rPr>
        <w:t xml:space="preserve">de las siguientes categorías: </w:t>
      </w:r>
    </w:p>
    <w:p w14:paraId="46E1A46E" w14:textId="596DFB7B" w:rsidR="00481685" w:rsidRDefault="00481685">
      <w:pPr>
        <w:rPr>
          <w:lang w:val="es-ES"/>
        </w:rPr>
      </w:pPr>
    </w:p>
    <w:p w14:paraId="6B55909F" w14:textId="697274AB" w:rsidR="00481685" w:rsidRDefault="00481685" w:rsidP="00481685">
      <w:pPr>
        <w:pStyle w:val="ListParagraph"/>
        <w:numPr>
          <w:ilvl w:val="0"/>
          <w:numId w:val="2"/>
        </w:numPr>
        <w:rPr>
          <w:lang w:val="es-ES"/>
        </w:rPr>
      </w:pPr>
      <w:r>
        <w:rPr>
          <w:lang w:val="es-ES"/>
        </w:rPr>
        <w:t>Población</w:t>
      </w:r>
    </w:p>
    <w:p w14:paraId="653008AC" w14:textId="77679075" w:rsidR="00095F36" w:rsidRDefault="00084E39" w:rsidP="00BF5BDB">
      <w:pPr>
        <w:spacing w:before="0" w:after="0"/>
        <w:ind w:left="360"/>
        <w:jc w:val="left"/>
        <w:rPr>
          <w:lang w:val="es-ES"/>
        </w:rPr>
      </w:pPr>
      <w:r>
        <w:rPr>
          <w:lang w:val="es-ES"/>
        </w:rPr>
        <w:t xml:space="preserve">Este conjunto de datos </w:t>
      </w:r>
      <w:r w:rsidR="00095F36" w:rsidRPr="00095F36">
        <w:rPr>
          <w:lang w:val="es-ES"/>
        </w:rPr>
        <w:t>de Población representa la proyección de la población mensual, tanto residente como flotante, presente en la comuna. Este módulo tiene tres tipos de salidas. La salida principal representa la población total equivalente al mes, la cual es la suma de población comunal (residentes) y la población flotante equivalente. </w:t>
      </w:r>
      <w:r w:rsidR="00095F36">
        <w:rPr>
          <w:lang w:val="es-ES"/>
        </w:rPr>
        <w:t>Incluye:</w:t>
      </w:r>
    </w:p>
    <w:p w14:paraId="66F2C226" w14:textId="77777777" w:rsidR="00095F36" w:rsidRPr="00095F36" w:rsidRDefault="00095F36" w:rsidP="00095F36">
      <w:pPr>
        <w:pStyle w:val="ListParagraph"/>
      </w:pPr>
    </w:p>
    <w:p w14:paraId="6507A39D" w14:textId="4B69413F" w:rsidR="00481685" w:rsidRDefault="00481685" w:rsidP="00481685">
      <w:pPr>
        <w:pStyle w:val="ListParagraph"/>
        <w:numPr>
          <w:ilvl w:val="1"/>
          <w:numId w:val="2"/>
        </w:numPr>
        <w:rPr>
          <w:lang w:val="es-ES"/>
        </w:rPr>
      </w:pPr>
      <w:r>
        <w:rPr>
          <w:lang w:val="es-ES"/>
        </w:rPr>
        <w:t>Población residente</w:t>
      </w:r>
      <w:r w:rsidR="00886769">
        <w:rPr>
          <w:lang w:val="es-ES"/>
        </w:rPr>
        <w:t xml:space="preserve">: </w:t>
      </w:r>
      <w:r w:rsidR="00886769" w:rsidRPr="00886769">
        <w:rPr>
          <w:lang w:val="es-ES"/>
        </w:rPr>
        <w:t>Estos datos muestran la proyecci</w:t>
      </w:r>
      <w:r w:rsidR="00886769" w:rsidRPr="00886769">
        <w:rPr>
          <w:rFonts w:hint="eastAsia"/>
          <w:lang w:val="es-ES"/>
        </w:rPr>
        <w:t>ó</w:t>
      </w:r>
      <w:r w:rsidR="00886769" w:rsidRPr="00886769">
        <w:rPr>
          <w:lang w:val="es-ES"/>
        </w:rPr>
        <w:t>n de la variaci</w:t>
      </w:r>
      <w:r w:rsidR="00886769" w:rsidRPr="00886769">
        <w:rPr>
          <w:rFonts w:hint="eastAsia"/>
          <w:lang w:val="es-ES"/>
        </w:rPr>
        <w:t>ó</w:t>
      </w:r>
      <w:r w:rsidR="00886769" w:rsidRPr="00886769">
        <w:rPr>
          <w:lang w:val="es-ES"/>
        </w:rPr>
        <w:t>n de la poblaci</w:t>
      </w:r>
      <w:r w:rsidR="00886769" w:rsidRPr="00886769">
        <w:rPr>
          <w:rFonts w:hint="eastAsia"/>
          <w:lang w:val="es-ES"/>
        </w:rPr>
        <w:t>ó</w:t>
      </w:r>
      <w:r w:rsidR="00886769" w:rsidRPr="00886769">
        <w:rPr>
          <w:lang w:val="es-ES"/>
        </w:rPr>
        <w:t>n residente en la comuna, durante los meses del a</w:t>
      </w:r>
      <w:r w:rsidR="00886769" w:rsidRPr="00886769">
        <w:rPr>
          <w:rFonts w:hint="eastAsia"/>
          <w:lang w:val="es-ES"/>
        </w:rPr>
        <w:t>ñ</w:t>
      </w:r>
      <w:r w:rsidR="00886769" w:rsidRPr="00886769">
        <w:rPr>
          <w:lang w:val="es-ES"/>
        </w:rPr>
        <w:t>o, hasta el a</w:t>
      </w:r>
      <w:r w:rsidR="00886769" w:rsidRPr="00886769">
        <w:rPr>
          <w:rFonts w:hint="eastAsia"/>
          <w:lang w:val="es-ES"/>
        </w:rPr>
        <w:t>ñ</w:t>
      </w:r>
      <w:r w:rsidR="00886769" w:rsidRPr="00886769">
        <w:rPr>
          <w:lang w:val="es-ES"/>
        </w:rPr>
        <w:t>o 2035.</w:t>
      </w:r>
    </w:p>
    <w:p w14:paraId="3B13F6B1" w14:textId="28358D1F" w:rsidR="00826C22" w:rsidRDefault="00826C22" w:rsidP="00481685">
      <w:pPr>
        <w:pStyle w:val="ListParagraph"/>
        <w:numPr>
          <w:ilvl w:val="1"/>
          <w:numId w:val="2"/>
        </w:numPr>
        <w:rPr>
          <w:lang w:val="es-ES"/>
        </w:rPr>
      </w:pPr>
      <w:r>
        <w:rPr>
          <w:lang w:val="es-ES"/>
        </w:rPr>
        <w:t>Población flotante equivalente</w:t>
      </w:r>
      <w:r w:rsidR="00886769">
        <w:rPr>
          <w:lang w:val="es-ES"/>
        </w:rPr>
        <w:t xml:space="preserve">: </w:t>
      </w:r>
      <w:r w:rsidR="00886769" w:rsidRPr="00886769">
        <w:rPr>
          <w:lang w:val="es-ES"/>
        </w:rPr>
        <w:t>Estos datos muestran la proyecci</w:t>
      </w:r>
      <w:r w:rsidR="00886769" w:rsidRPr="00886769">
        <w:rPr>
          <w:rFonts w:hint="eastAsia"/>
          <w:lang w:val="es-ES"/>
        </w:rPr>
        <w:t>ó</w:t>
      </w:r>
      <w:r w:rsidR="00886769" w:rsidRPr="00886769">
        <w:rPr>
          <w:lang w:val="es-ES"/>
        </w:rPr>
        <w:t>n de la variaci</w:t>
      </w:r>
      <w:r w:rsidR="00886769" w:rsidRPr="00886769">
        <w:rPr>
          <w:rFonts w:hint="eastAsia"/>
          <w:lang w:val="es-ES"/>
        </w:rPr>
        <w:t>ó</w:t>
      </w:r>
      <w:r w:rsidR="00886769" w:rsidRPr="00886769">
        <w:rPr>
          <w:lang w:val="es-ES"/>
        </w:rPr>
        <w:t>n de la poblaci</w:t>
      </w:r>
      <w:r w:rsidR="00886769" w:rsidRPr="00886769">
        <w:rPr>
          <w:rFonts w:hint="eastAsia"/>
          <w:lang w:val="es-ES"/>
        </w:rPr>
        <w:t>ó</w:t>
      </w:r>
      <w:r w:rsidR="00886769" w:rsidRPr="00886769">
        <w:rPr>
          <w:lang w:val="es-ES"/>
        </w:rPr>
        <w:t>n flotante equivalente, durante los meses del a</w:t>
      </w:r>
      <w:r w:rsidR="00886769" w:rsidRPr="00886769">
        <w:rPr>
          <w:rFonts w:hint="eastAsia"/>
          <w:lang w:val="es-ES"/>
        </w:rPr>
        <w:t>ñ</w:t>
      </w:r>
      <w:r w:rsidR="00886769" w:rsidRPr="00886769">
        <w:rPr>
          <w:lang w:val="es-ES"/>
        </w:rPr>
        <w:t>o, hasta el a</w:t>
      </w:r>
      <w:r w:rsidR="00886769" w:rsidRPr="00886769">
        <w:rPr>
          <w:rFonts w:hint="eastAsia"/>
          <w:lang w:val="es-ES"/>
        </w:rPr>
        <w:t>ñ</w:t>
      </w:r>
      <w:r w:rsidR="00886769" w:rsidRPr="00886769">
        <w:rPr>
          <w:lang w:val="es-ES"/>
        </w:rPr>
        <w:t>o 2035. La poblaci</w:t>
      </w:r>
      <w:r w:rsidR="00886769" w:rsidRPr="00886769">
        <w:rPr>
          <w:rFonts w:hint="eastAsia"/>
          <w:lang w:val="es-ES"/>
        </w:rPr>
        <w:t>ó</w:t>
      </w:r>
      <w:r w:rsidR="00886769" w:rsidRPr="00886769">
        <w:rPr>
          <w:lang w:val="es-ES"/>
        </w:rPr>
        <w:t>n flotante equivalente</w:t>
      </w:r>
      <w:r w:rsidR="005663F6" w:rsidRPr="005663F6">
        <w:rPr>
          <w:lang w:val="es-ES"/>
        </w:rPr>
        <w:t xml:space="preserve"> considera la estad</w:t>
      </w:r>
      <w:r w:rsidR="005663F6" w:rsidRPr="005663F6">
        <w:rPr>
          <w:rFonts w:hint="eastAsia"/>
          <w:lang w:val="es-ES"/>
        </w:rPr>
        <w:t>í</w:t>
      </w:r>
      <w:r w:rsidR="005663F6" w:rsidRPr="005663F6">
        <w:rPr>
          <w:lang w:val="es-ES"/>
        </w:rPr>
        <w:t xml:space="preserve">a promedio de </w:t>
      </w:r>
      <w:r w:rsidR="005663F6">
        <w:rPr>
          <w:lang w:val="es-ES"/>
        </w:rPr>
        <w:t xml:space="preserve">la llegada de población </w:t>
      </w:r>
      <w:r w:rsidR="005663F6" w:rsidRPr="005663F6">
        <w:rPr>
          <w:lang w:val="es-ES"/>
        </w:rPr>
        <w:t>flotante</w:t>
      </w:r>
      <w:r w:rsidR="005663F6">
        <w:rPr>
          <w:lang w:val="es-ES"/>
        </w:rPr>
        <w:t>,</w:t>
      </w:r>
      <w:r w:rsidR="005663F6" w:rsidRPr="005663F6">
        <w:rPr>
          <w:lang w:val="es-ES"/>
        </w:rPr>
        <w:t xml:space="preserve"> de modo de obtener una "poblaci</w:t>
      </w:r>
      <w:r w:rsidR="005663F6" w:rsidRPr="005663F6">
        <w:rPr>
          <w:rFonts w:hint="eastAsia"/>
          <w:lang w:val="es-ES"/>
        </w:rPr>
        <w:t>ó</w:t>
      </w:r>
      <w:r w:rsidR="005663F6" w:rsidRPr="005663F6">
        <w:rPr>
          <w:lang w:val="es-ES"/>
        </w:rPr>
        <w:t>n equivalente", es decir, el promedio al mes de personas no residentes que equivalentemente se distribuir</w:t>
      </w:r>
      <w:r w:rsidR="005663F6" w:rsidRPr="005663F6">
        <w:rPr>
          <w:rFonts w:hint="eastAsia"/>
          <w:lang w:val="es-ES"/>
        </w:rPr>
        <w:t>í</w:t>
      </w:r>
      <w:r w:rsidR="005663F6" w:rsidRPr="005663F6">
        <w:rPr>
          <w:lang w:val="es-ES"/>
        </w:rPr>
        <w:t>an las 24 horas del d</w:t>
      </w:r>
      <w:r w:rsidR="005663F6" w:rsidRPr="005663F6">
        <w:rPr>
          <w:rFonts w:hint="eastAsia"/>
          <w:lang w:val="es-ES"/>
        </w:rPr>
        <w:t>í</w:t>
      </w:r>
      <w:r w:rsidR="005663F6" w:rsidRPr="005663F6">
        <w:rPr>
          <w:lang w:val="es-ES"/>
        </w:rPr>
        <w:t>a durante todo un mes</w:t>
      </w:r>
      <w:r w:rsidR="00886769" w:rsidRPr="00886769">
        <w:rPr>
          <w:lang w:val="es-ES"/>
        </w:rPr>
        <w:t>. La poblaci</w:t>
      </w:r>
      <w:r w:rsidR="00886769" w:rsidRPr="00886769">
        <w:rPr>
          <w:rFonts w:hint="eastAsia"/>
          <w:lang w:val="es-ES"/>
        </w:rPr>
        <w:t>ó</w:t>
      </w:r>
      <w:r w:rsidR="00886769" w:rsidRPr="00886769">
        <w:rPr>
          <w:lang w:val="es-ES"/>
        </w:rPr>
        <w:t>n equivalente corresponde a turistas y personas que no viven en la comuna pero que trabajan o estudian en ella.</w:t>
      </w:r>
    </w:p>
    <w:p w14:paraId="64CD20D0" w14:textId="616C4F45" w:rsidR="00826C22" w:rsidRDefault="00826C22" w:rsidP="00826C22">
      <w:pPr>
        <w:pStyle w:val="ListParagraph"/>
        <w:numPr>
          <w:ilvl w:val="1"/>
          <w:numId w:val="2"/>
        </w:numPr>
        <w:rPr>
          <w:lang w:val="es-ES"/>
        </w:rPr>
      </w:pPr>
      <w:r>
        <w:rPr>
          <w:lang w:val="es-ES"/>
        </w:rPr>
        <w:t>Población total equivalente</w:t>
      </w:r>
      <w:r w:rsidR="00886769">
        <w:rPr>
          <w:lang w:val="es-ES"/>
        </w:rPr>
        <w:t xml:space="preserve">: </w:t>
      </w:r>
      <w:r w:rsidR="00886769" w:rsidRPr="00886769">
        <w:rPr>
          <w:lang w:val="es-ES"/>
        </w:rPr>
        <w:t>Estos datos muestran la proyecci</w:t>
      </w:r>
      <w:r w:rsidR="00886769" w:rsidRPr="00886769">
        <w:rPr>
          <w:rFonts w:hint="eastAsia"/>
          <w:lang w:val="es-ES"/>
        </w:rPr>
        <w:t>ó</w:t>
      </w:r>
      <w:r w:rsidR="00886769" w:rsidRPr="00886769">
        <w:rPr>
          <w:lang w:val="es-ES"/>
        </w:rPr>
        <w:t>n de la variaci</w:t>
      </w:r>
      <w:r w:rsidR="00886769" w:rsidRPr="00886769">
        <w:rPr>
          <w:rFonts w:hint="eastAsia"/>
          <w:lang w:val="es-ES"/>
        </w:rPr>
        <w:t>ó</w:t>
      </w:r>
      <w:r w:rsidR="00886769" w:rsidRPr="00886769">
        <w:rPr>
          <w:lang w:val="es-ES"/>
        </w:rPr>
        <w:t>n de la poblaci</w:t>
      </w:r>
      <w:r w:rsidR="00886769" w:rsidRPr="00886769">
        <w:rPr>
          <w:rFonts w:hint="eastAsia"/>
          <w:lang w:val="es-ES"/>
        </w:rPr>
        <w:t>ó</w:t>
      </w:r>
      <w:r w:rsidR="00886769" w:rsidRPr="00886769">
        <w:rPr>
          <w:lang w:val="es-ES"/>
        </w:rPr>
        <w:t>n equivalente, durante los meses del a</w:t>
      </w:r>
      <w:r w:rsidR="00886769" w:rsidRPr="00886769">
        <w:rPr>
          <w:rFonts w:hint="eastAsia"/>
          <w:lang w:val="es-ES"/>
        </w:rPr>
        <w:t>ñ</w:t>
      </w:r>
      <w:r w:rsidR="00886769" w:rsidRPr="00886769">
        <w:rPr>
          <w:lang w:val="es-ES"/>
        </w:rPr>
        <w:t>o, hasta el a</w:t>
      </w:r>
      <w:r w:rsidR="00886769" w:rsidRPr="00886769">
        <w:rPr>
          <w:rFonts w:hint="eastAsia"/>
          <w:lang w:val="es-ES"/>
        </w:rPr>
        <w:t>ñ</w:t>
      </w:r>
      <w:r w:rsidR="00886769" w:rsidRPr="00886769">
        <w:rPr>
          <w:lang w:val="es-ES"/>
        </w:rPr>
        <w:t>o 2035. La poblaci</w:t>
      </w:r>
      <w:r w:rsidR="00886769" w:rsidRPr="00886769">
        <w:rPr>
          <w:rFonts w:hint="eastAsia"/>
          <w:lang w:val="es-ES"/>
        </w:rPr>
        <w:t>ó</w:t>
      </w:r>
      <w:r w:rsidR="00886769" w:rsidRPr="00886769">
        <w:rPr>
          <w:lang w:val="es-ES"/>
        </w:rPr>
        <w:t>n equivalente corresponde a las personas que se mantienen en la comuna 24 horas al d</w:t>
      </w:r>
      <w:r w:rsidR="00886769" w:rsidRPr="00886769">
        <w:rPr>
          <w:rFonts w:hint="eastAsia"/>
          <w:lang w:val="es-ES"/>
        </w:rPr>
        <w:t>í</w:t>
      </w:r>
      <w:r w:rsidR="00886769" w:rsidRPr="00886769">
        <w:rPr>
          <w:lang w:val="es-ES"/>
        </w:rPr>
        <w:t>a, durante un mes.</w:t>
      </w:r>
    </w:p>
    <w:p w14:paraId="1329FBBC" w14:textId="77777777" w:rsidR="00886769" w:rsidRDefault="00886769" w:rsidP="00886769">
      <w:pPr>
        <w:pStyle w:val="ListParagraph"/>
        <w:ind w:left="1440"/>
        <w:rPr>
          <w:lang w:val="es-ES"/>
        </w:rPr>
      </w:pPr>
    </w:p>
    <w:p w14:paraId="47254C09" w14:textId="16216404" w:rsidR="00826C22" w:rsidRDefault="00826C22" w:rsidP="00826C22">
      <w:pPr>
        <w:pStyle w:val="ListParagraph"/>
        <w:numPr>
          <w:ilvl w:val="0"/>
          <w:numId w:val="2"/>
        </w:numPr>
        <w:rPr>
          <w:lang w:val="es-ES"/>
        </w:rPr>
      </w:pPr>
      <w:r>
        <w:rPr>
          <w:lang w:val="es-ES"/>
        </w:rPr>
        <w:t>Generación de residuos sólidos domiciliarios</w:t>
      </w:r>
      <w:r w:rsidR="00564CFF">
        <w:rPr>
          <w:lang w:val="es-ES"/>
        </w:rPr>
        <w:t xml:space="preserve"> (RSD)</w:t>
      </w:r>
    </w:p>
    <w:p w14:paraId="1A06A9FF" w14:textId="1A801F0E" w:rsidR="00084E39" w:rsidRPr="00204DCD" w:rsidRDefault="00084E39" w:rsidP="00BF5BDB">
      <w:pPr>
        <w:spacing w:before="0" w:after="0"/>
        <w:ind w:left="360"/>
        <w:jc w:val="left"/>
        <w:rPr>
          <w:rFonts w:ascii="Times New Roman" w:eastAsia="Times New Roman" w:hAnsi="Times New Roman" w:cs="Times New Roman"/>
          <w:sz w:val="24"/>
        </w:rPr>
      </w:pPr>
      <w:r>
        <w:rPr>
          <w:lang w:val="es-ES"/>
        </w:rPr>
        <w:t xml:space="preserve">Este conjunto de datos de </w:t>
      </w:r>
      <w:r w:rsidRPr="00084E39">
        <w:rPr>
          <w:lang w:val="es-ES"/>
        </w:rPr>
        <w:t>"Resid</w:t>
      </w:r>
      <w:r>
        <w:rPr>
          <w:lang w:val="es-ES"/>
        </w:rPr>
        <w:t>u</w:t>
      </w:r>
      <w:r w:rsidRPr="00084E39">
        <w:rPr>
          <w:lang w:val="es-ES"/>
        </w:rPr>
        <w:t>os Sólidos Domiciliarios", representa la proyección mensual de los residuos en la comu</w:t>
      </w:r>
      <w:r>
        <w:rPr>
          <w:lang w:val="es-ES"/>
        </w:rPr>
        <w:t>na. Incluye:</w:t>
      </w:r>
    </w:p>
    <w:p w14:paraId="59FE2CE7" w14:textId="253CB66D" w:rsidR="00826C22" w:rsidRDefault="00564CFF" w:rsidP="00826C22">
      <w:pPr>
        <w:pStyle w:val="ListParagraph"/>
        <w:numPr>
          <w:ilvl w:val="1"/>
          <w:numId w:val="2"/>
        </w:numPr>
        <w:rPr>
          <w:lang w:val="es-ES"/>
        </w:rPr>
      </w:pPr>
      <w:r>
        <w:rPr>
          <w:lang w:val="es-ES"/>
        </w:rPr>
        <w:t>RSD totales</w:t>
      </w:r>
      <w:r w:rsidR="00323A6D">
        <w:rPr>
          <w:lang w:val="es-ES"/>
        </w:rPr>
        <w:t xml:space="preserve">: </w:t>
      </w:r>
      <w:r w:rsidR="00323A6D" w:rsidRPr="00323A6D">
        <w:rPr>
          <w:lang w:val="es-ES"/>
        </w:rPr>
        <w:t>Estos datos muestran la proyecci</w:t>
      </w:r>
      <w:r w:rsidR="00323A6D" w:rsidRPr="00323A6D">
        <w:rPr>
          <w:rFonts w:hint="eastAsia"/>
          <w:lang w:val="es-ES"/>
        </w:rPr>
        <w:t>ó</w:t>
      </w:r>
      <w:r w:rsidR="00323A6D" w:rsidRPr="00323A6D">
        <w:rPr>
          <w:lang w:val="es-ES"/>
        </w:rPr>
        <w:t>n de los residuos s</w:t>
      </w:r>
      <w:r w:rsidR="00323A6D" w:rsidRPr="00323A6D">
        <w:rPr>
          <w:rFonts w:hint="eastAsia"/>
          <w:lang w:val="es-ES"/>
        </w:rPr>
        <w:t>ó</w:t>
      </w:r>
      <w:r w:rsidR="00323A6D" w:rsidRPr="00323A6D">
        <w:rPr>
          <w:lang w:val="es-ES"/>
        </w:rPr>
        <w:t>lidos domiciliarios totales generados en la comuna mensualmente hasta el a</w:t>
      </w:r>
      <w:r w:rsidR="00323A6D" w:rsidRPr="00323A6D">
        <w:rPr>
          <w:rFonts w:hint="eastAsia"/>
          <w:lang w:val="es-ES"/>
        </w:rPr>
        <w:t>ñ</w:t>
      </w:r>
      <w:r w:rsidR="00323A6D" w:rsidRPr="00323A6D">
        <w:rPr>
          <w:lang w:val="es-ES"/>
        </w:rPr>
        <w:t>o 2035. Considera los residuos que van a disposici</w:t>
      </w:r>
      <w:r w:rsidR="00323A6D" w:rsidRPr="00323A6D">
        <w:rPr>
          <w:rFonts w:hint="eastAsia"/>
          <w:lang w:val="es-ES"/>
        </w:rPr>
        <w:t>ó</w:t>
      </w:r>
      <w:r w:rsidR="00323A6D" w:rsidRPr="00323A6D">
        <w:rPr>
          <w:lang w:val="es-ES"/>
        </w:rPr>
        <w:t>n final, los reciclables y los compostables.</w:t>
      </w:r>
    </w:p>
    <w:p w14:paraId="7FE64CE2" w14:textId="38456192" w:rsidR="00564CFF" w:rsidRDefault="00564CFF" w:rsidP="00826C22">
      <w:pPr>
        <w:pStyle w:val="ListParagraph"/>
        <w:numPr>
          <w:ilvl w:val="1"/>
          <w:numId w:val="2"/>
        </w:numPr>
        <w:rPr>
          <w:lang w:val="es-ES"/>
        </w:rPr>
      </w:pPr>
      <w:r>
        <w:rPr>
          <w:lang w:val="es-ES"/>
        </w:rPr>
        <w:t>RSD reciclables</w:t>
      </w:r>
      <w:r w:rsidR="00E32A86">
        <w:rPr>
          <w:lang w:val="es-ES"/>
        </w:rPr>
        <w:t xml:space="preserve">: </w:t>
      </w:r>
      <w:r w:rsidR="00E32A86" w:rsidRPr="00E32A86">
        <w:rPr>
          <w:lang w:val="es-ES"/>
        </w:rPr>
        <w:t>Estos datos muestran la proyecci</w:t>
      </w:r>
      <w:r w:rsidR="00E32A86" w:rsidRPr="00E32A86">
        <w:rPr>
          <w:rFonts w:hint="eastAsia"/>
          <w:lang w:val="es-ES"/>
        </w:rPr>
        <w:t>ó</w:t>
      </w:r>
      <w:r w:rsidR="00E32A86" w:rsidRPr="00E32A86">
        <w:rPr>
          <w:lang w:val="es-ES"/>
        </w:rPr>
        <w:t>n de los residuos s</w:t>
      </w:r>
      <w:r w:rsidR="00E32A86" w:rsidRPr="00E32A86">
        <w:rPr>
          <w:rFonts w:hint="eastAsia"/>
          <w:lang w:val="es-ES"/>
        </w:rPr>
        <w:t>ó</w:t>
      </w:r>
      <w:r w:rsidR="00E32A86" w:rsidRPr="00E32A86">
        <w:rPr>
          <w:lang w:val="es-ES"/>
        </w:rPr>
        <w:t>lidos domiciliarios reciclables generados en la comuna mensualmente hasta el a</w:t>
      </w:r>
      <w:r w:rsidR="00E32A86" w:rsidRPr="00E32A86">
        <w:rPr>
          <w:rFonts w:hint="eastAsia"/>
          <w:lang w:val="es-ES"/>
        </w:rPr>
        <w:t>ñ</w:t>
      </w:r>
      <w:r w:rsidR="00E32A86" w:rsidRPr="00E32A86">
        <w:rPr>
          <w:lang w:val="es-ES"/>
        </w:rPr>
        <w:t>o 2035. Se entiende por reciclables a todos aquellos residuos que reciben un tratamiento distinto a la disposici</w:t>
      </w:r>
      <w:r w:rsidR="00E32A86" w:rsidRPr="00E32A86">
        <w:rPr>
          <w:rFonts w:hint="eastAsia"/>
          <w:lang w:val="es-ES"/>
        </w:rPr>
        <w:t>ó</w:t>
      </w:r>
      <w:r w:rsidR="00E32A86" w:rsidRPr="00E32A86">
        <w:rPr>
          <w:lang w:val="es-ES"/>
        </w:rPr>
        <w:t>n final y/o al compostaje (cartones, vidrios, papeles, pl</w:t>
      </w:r>
      <w:r w:rsidR="00E32A86" w:rsidRPr="00E32A86">
        <w:rPr>
          <w:rFonts w:hint="eastAsia"/>
          <w:lang w:val="es-ES"/>
        </w:rPr>
        <w:t>á</w:t>
      </w:r>
      <w:r w:rsidR="00E32A86" w:rsidRPr="00E32A86">
        <w:rPr>
          <w:lang w:val="es-ES"/>
        </w:rPr>
        <w:t xml:space="preserve">sticos PET, aluminios, </w:t>
      </w:r>
      <w:proofErr w:type="spellStart"/>
      <w:r w:rsidR="00E32A86" w:rsidRPr="00E32A86">
        <w:rPr>
          <w:lang w:val="es-ES"/>
        </w:rPr>
        <w:t>etc</w:t>
      </w:r>
      <w:proofErr w:type="spellEnd"/>
      <w:r w:rsidR="00E32A86" w:rsidRPr="00E32A86">
        <w:rPr>
          <w:lang w:val="es-ES"/>
        </w:rPr>
        <w:t>).</w:t>
      </w:r>
    </w:p>
    <w:p w14:paraId="419D37C6" w14:textId="4CC8406A" w:rsidR="00564CFF" w:rsidRDefault="00564CFF" w:rsidP="00826C22">
      <w:pPr>
        <w:pStyle w:val="ListParagraph"/>
        <w:numPr>
          <w:ilvl w:val="1"/>
          <w:numId w:val="2"/>
        </w:numPr>
        <w:rPr>
          <w:lang w:val="es-ES"/>
        </w:rPr>
      </w:pPr>
      <w:r>
        <w:rPr>
          <w:lang w:val="es-ES"/>
        </w:rPr>
        <w:t xml:space="preserve">RSD </w:t>
      </w:r>
      <w:r w:rsidR="00D335F4">
        <w:rPr>
          <w:lang w:val="es-ES"/>
        </w:rPr>
        <w:t>compostables de residentes</w:t>
      </w:r>
      <w:r w:rsidR="00E32A86">
        <w:rPr>
          <w:lang w:val="es-ES"/>
        </w:rPr>
        <w:t xml:space="preserve">: </w:t>
      </w:r>
      <w:r w:rsidR="00E32A86" w:rsidRPr="00E32A86">
        <w:rPr>
          <w:lang w:val="es-ES"/>
        </w:rPr>
        <w:t>Estos datos muestran la proyecci</w:t>
      </w:r>
      <w:r w:rsidR="00E32A86" w:rsidRPr="00E32A86">
        <w:rPr>
          <w:rFonts w:hint="eastAsia"/>
          <w:lang w:val="es-ES"/>
        </w:rPr>
        <w:t>ó</w:t>
      </w:r>
      <w:r w:rsidR="00E32A86" w:rsidRPr="00E32A86">
        <w:rPr>
          <w:lang w:val="es-ES"/>
        </w:rPr>
        <w:t>n de los residuos s</w:t>
      </w:r>
      <w:r w:rsidR="00E32A86" w:rsidRPr="00E32A86">
        <w:rPr>
          <w:rFonts w:hint="eastAsia"/>
          <w:lang w:val="es-ES"/>
        </w:rPr>
        <w:t>ó</w:t>
      </w:r>
      <w:r w:rsidR="00E32A86" w:rsidRPr="00E32A86">
        <w:rPr>
          <w:lang w:val="es-ES"/>
        </w:rPr>
        <w:t>lidos domiciliarios compostables de poblaci</w:t>
      </w:r>
      <w:r w:rsidR="00E32A86" w:rsidRPr="00E32A86">
        <w:rPr>
          <w:rFonts w:hint="eastAsia"/>
          <w:lang w:val="es-ES"/>
        </w:rPr>
        <w:t>ó</w:t>
      </w:r>
      <w:r w:rsidR="00E32A86" w:rsidRPr="00E32A86">
        <w:rPr>
          <w:lang w:val="es-ES"/>
        </w:rPr>
        <w:t>n residentes generados mensualmente en la comuna hasta el a</w:t>
      </w:r>
      <w:r w:rsidR="00E32A86" w:rsidRPr="00E32A86">
        <w:rPr>
          <w:rFonts w:hint="eastAsia"/>
          <w:lang w:val="es-ES"/>
        </w:rPr>
        <w:t>ñ</w:t>
      </w:r>
      <w:r w:rsidR="00E32A86" w:rsidRPr="00E32A86">
        <w:rPr>
          <w:lang w:val="es-ES"/>
        </w:rPr>
        <w:t>o 2035. Estos residuos son tratados en composteras domiciliarias.</w:t>
      </w:r>
    </w:p>
    <w:p w14:paraId="395BFAD9" w14:textId="77777777" w:rsidR="00937B4B" w:rsidRDefault="00937B4B" w:rsidP="00937B4B">
      <w:pPr>
        <w:pStyle w:val="ListParagraph"/>
        <w:ind w:left="1440"/>
        <w:rPr>
          <w:lang w:val="es-ES"/>
        </w:rPr>
      </w:pPr>
    </w:p>
    <w:p w14:paraId="0E6E521C" w14:textId="482CD398" w:rsidR="00D335F4" w:rsidRDefault="00D335F4" w:rsidP="00D335F4">
      <w:pPr>
        <w:pStyle w:val="ListParagraph"/>
        <w:numPr>
          <w:ilvl w:val="0"/>
          <w:numId w:val="2"/>
        </w:numPr>
        <w:rPr>
          <w:lang w:val="es-ES"/>
        </w:rPr>
      </w:pPr>
      <w:r>
        <w:rPr>
          <w:lang w:val="es-ES"/>
        </w:rPr>
        <w:t>Educación</w:t>
      </w:r>
    </w:p>
    <w:p w14:paraId="7ABE4E33" w14:textId="482157E5" w:rsidR="00C41C21" w:rsidRDefault="00C41C21" w:rsidP="00BF5BDB">
      <w:pPr>
        <w:spacing w:before="0" w:after="0"/>
        <w:ind w:left="360"/>
        <w:jc w:val="left"/>
        <w:rPr>
          <w:lang w:val="es-ES"/>
        </w:rPr>
      </w:pPr>
      <w:r w:rsidRPr="00C41C21">
        <w:rPr>
          <w:lang w:val="es-ES"/>
        </w:rPr>
        <w:t>El módulo "Educación", representa la proyección de la ofe</w:t>
      </w:r>
      <w:r>
        <w:rPr>
          <w:lang w:val="es-ES"/>
        </w:rPr>
        <w:t>r</w:t>
      </w:r>
      <w:r w:rsidRPr="00C41C21">
        <w:rPr>
          <w:lang w:val="es-ES"/>
        </w:rPr>
        <w:t>ta y demanda de matriculas para los distintos niveles de educación pre</w:t>
      </w:r>
      <w:r>
        <w:rPr>
          <w:lang w:val="es-ES"/>
        </w:rPr>
        <w:t>-</w:t>
      </w:r>
      <w:r w:rsidRPr="00C41C21">
        <w:rPr>
          <w:lang w:val="es-ES"/>
        </w:rPr>
        <w:t xml:space="preserve">escolar y escolar en la comuna. </w:t>
      </w:r>
      <w:r>
        <w:rPr>
          <w:lang w:val="es-ES"/>
        </w:rPr>
        <w:t>Incluye:</w:t>
      </w:r>
    </w:p>
    <w:p w14:paraId="10985651" w14:textId="22181C37" w:rsidR="00D335F4" w:rsidRDefault="00D335F4" w:rsidP="00D335F4">
      <w:pPr>
        <w:pStyle w:val="ListParagraph"/>
        <w:numPr>
          <w:ilvl w:val="1"/>
          <w:numId w:val="2"/>
        </w:numPr>
        <w:rPr>
          <w:lang w:val="es-ES"/>
        </w:rPr>
      </w:pPr>
      <w:r>
        <w:rPr>
          <w:lang w:val="es-ES"/>
        </w:rPr>
        <w:t>Demanda de matrículas totales</w:t>
      </w:r>
      <w:r w:rsidR="00DE2437">
        <w:rPr>
          <w:lang w:val="es-ES"/>
        </w:rPr>
        <w:t xml:space="preserve">: </w:t>
      </w:r>
      <w:r w:rsidR="00DE2437" w:rsidRPr="00DE2437">
        <w:rPr>
          <w:lang w:val="es-ES"/>
        </w:rPr>
        <w:t>Estos datos muestran la demanda mensual por matr</w:t>
      </w:r>
      <w:r w:rsidR="00DE2437" w:rsidRPr="00DE2437">
        <w:rPr>
          <w:rFonts w:hint="eastAsia"/>
          <w:lang w:val="es-ES"/>
        </w:rPr>
        <w:t>í</w:t>
      </w:r>
      <w:r w:rsidR="00DE2437" w:rsidRPr="00DE2437">
        <w:rPr>
          <w:lang w:val="es-ES"/>
        </w:rPr>
        <w:t>culas para educaci</w:t>
      </w:r>
      <w:r w:rsidR="00DE2437" w:rsidRPr="00DE2437">
        <w:rPr>
          <w:rFonts w:hint="eastAsia"/>
          <w:lang w:val="es-ES"/>
        </w:rPr>
        <w:t>ó</w:t>
      </w:r>
      <w:r w:rsidR="00DE2437" w:rsidRPr="00DE2437">
        <w:rPr>
          <w:lang w:val="es-ES"/>
        </w:rPr>
        <w:t>n preescolar, b</w:t>
      </w:r>
      <w:r w:rsidR="00DE2437" w:rsidRPr="00DE2437">
        <w:rPr>
          <w:rFonts w:hint="eastAsia"/>
          <w:lang w:val="es-ES"/>
        </w:rPr>
        <w:t>á</w:t>
      </w:r>
      <w:r w:rsidR="00DE2437" w:rsidRPr="00DE2437">
        <w:rPr>
          <w:lang w:val="es-ES"/>
        </w:rPr>
        <w:t>sica y media en la comuna proyectada hasta el a</w:t>
      </w:r>
      <w:r w:rsidR="00DE2437" w:rsidRPr="00DE2437">
        <w:rPr>
          <w:rFonts w:hint="eastAsia"/>
          <w:lang w:val="es-ES"/>
        </w:rPr>
        <w:t>ñ</w:t>
      </w:r>
      <w:r w:rsidR="00DE2437" w:rsidRPr="00DE2437">
        <w:rPr>
          <w:lang w:val="es-ES"/>
        </w:rPr>
        <w:t xml:space="preserve">o 2035. </w:t>
      </w:r>
    </w:p>
    <w:p w14:paraId="4353556B" w14:textId="1C67E05E" w:rsidR="00D335F4" w:rsidRDefault="00D335F4" w:rsidP="00D335F4">
      <w:pPr>
        <w:pStyle w:val="ListParagraph"/>
        <w:numPr>
          <w:ilvl w:val="1"/>
          <w:numId w:val="2"/>
        </w:numPr>
        <w:rPr>
          <w:lang w:val="es-ES"/>
        </w:rPr>
      </w:pPr>
      <w:r>
        <w:rPr>
          <w:lang w:val="es-ES"/>
        </w:rPr>
        <w:lastRenderedPageBreak/>
        <w:t xml:space="preserve">Demanda de matrículas </w:t>
      </w:r>
      <w:r w:rsidR="00937B4B">
        <w:rPr>
          <w:lang w:val="es-ES"/>
        </w:rPr>
        <w:t xml:space="preserve">parvularia: </w:t>
      </w:r>
      <w:r w:rsidR="00937B4B" w:rsidRPr="00937B4B">
        <w:rPr>
          <w:lang w:val="es-ES"/>
        </w:rPr>
        <w:t>Estos datos muestran la demanda mensual por matr</w:t>
      </w:r>
      <w:r w:rsidR="00937B4B" w:rsidRPr="00937B4B">
        <w:rPr>
          <w:rFonts w:hint="eastAsia"/>
          <w:lang w:val="es-ES"/>
        </w:rPr>
        <w:t>í</w:t>
      </w:r>
      <w:r w:rsidR="00937B4B" w:rsidRPr="00937B4B">
        <w:rPr>
          <w:lang w:val="es-ES"/>
        </w:rPr>
        <w:t>culas para educaci</w:t>
      </w:r>
      <w:r w:rsidR="00937B4B" w:rsidRPr="00937B4B">
        <w:rPr>
          <w:rFonts w:hint="eastAsia"/>
          <w:lang w:val="es-ES"/>
        </w:rPr>
        <w:t>ó</w:t>
      </w:r>
      <w:r w:rsidR="00937B4B" w:rsidRPr="00937B4B">
        <w:rPr>
          <w:lang w:val="es-ES"/>
        </w:rPr>
        <w:t>n b</w:t>
      </w:r>
      <w:r w:rsidR="00937B4B" w:rsidRPr="00937B4B">
        <w:rPr>
          <w:rFonts w:hint="eastAsia"/>
          <w:lang w:val="es-ES"/>
        </w:rPr>
        <w:t>á</w:t>
      </w:r>
      <w:r w:rsidR="00937B4B" w:rsidRPr="00937B4B">
        <w:rPr>
          <w:lang w:val="es-ES"/>
        </w:rPr>
        <w:t>sica en la comuna proyectada hasta el a</w:t>
      </w:r>
      <w:r w:rsidR="00937B4B" w:rsidRPr="00937B4B">
        <w:rPr>
          <w:rFonts w:hint="eastAsia"/>
          <w:lang w:val="es-ES"/>
        </w:rPr>
        <w:t>ñ</w:t>
      </w:r>
      <w:r w:rsidR="00937B4B" w:rsidRPr="00937B4B">
        <w:rPr>
          <w:lang w:val="es-ES"/>
        </w:rPr>
        <w:t>o 2035</w:t>
      </w:r>
      <w:r w:rsidR="00937B4B">
        <w:rPr>
          <w:lang w:val="es-ES"/>
        </w:rPr>
        <w:t>.</w:t>
      </w:r>
    </w:p>
    <w:p w14:paraId="2058CA3D" w14:textId="4958B3FB" w:rsidR="00D335F4" w:rsidRDefault="00D335F4" w:rsidP="00D335F4">
      <w:pPr>
        <w:pStyle w:val="ListParagraph"/>
        <w:numPr>
          <w:ilvl w:val="1"/>
          <w:numId w:val="2"/>
        </w:numPr>
        <w:rPr>
          <w:lang w:val="es-ES"/>
        </w:rPr>
      </w:pPr>
      <w:r>
        <w:rPr>
          <w:lang w:val="es-ES"/>
        </w:rPr>
        <w:t xml:space="preserve">Demanda de matrículas </w:t>
      </w:r>
      <w:r w:rsidR="00C15EBE">
        <w:rPr>
          <w:lang w:val="es-ES"/>
        </w:rPr>
        <w:t>básicas</w:t>
      </w:r>
      <w:r w:rsidR="00937B4B">
        <w:rPr>
          <w:lang w:val="es-ES"/>
        </w:rPr>
        <w:t xml:space="preserve">: </w:t>
      </w:r>
      <w:r w:rsidR="00937B4B" w:rsidRPr="00937B4B">
        <w:rPr>
          <w:lang w:val="es-ES"/>
        </w:rPr>
        <w:t>Estos datos muestran la demanda mensual por matr</w:t>
      </w:r>
      <w:r w:rsidR="00937B4B" w:rsidRPr="00937B4B">
        <w:rPr>
          <w:rFonts w:hint="eastAsia"/>
          <w:lang w:val="es-ES"/>
        </w:rPr>
        <w:t>í</w:t>
      </w:r>
      <w:r w:rsidR="00937B4B" w:rsidRPr="00937B4B">
        <w:rPr>
          <w:lang w:val="es-ES"/>
        </w:rPr>
        <w:t>culas para educaci</w:t>
      </w:r>
      <w:r w:rsidR="00937B4B" w:rsidRPr="00937B4B">
        <w:rPr>
          <w:rFonts w:hint="eastAsia"/>
          <w:lang w:val="es-ES"/>
        </w:rPr>
        <w:t>ó</w:t>
      </w:r>
      <w:r w:rsidR="00937B4B" w:rsidRPr="00937B4B">
        <w:rPr>
          <w:lang w:val="es-ES"/>
        </w:rPr>
        <w:t>n b</w:t>
      </w:r>
      <w:r w:rsidR="00937B4B" w:rsidRPr="00937B4B">
        <w:rPr>
          <w:rFonts w:hint="eastAsia"/>
          <w:lang w:val="es-ES"/>
        </w:rPr>
        <w:t>á</w:t>
      </w:r>
      <w:r w:rsidR="00937B4B" w:rsidRPr="00937B4B">
        <w:rPr>
          <w:lang w:val="es-ES"/>
        </w:rPr>
        <w:t>sica en la comuna proyectada hasta el a</w:t>
      </w:r>
      <w:r w:rsidR="00937B4B" w:rsidRPr="00937B4B">
        <w:rPr>
          <w:rFonts w:hint="eastAsia"/>
          <w:lang w:val="es-ES"/>
        </w:rPr>
        <w:t>ñ</w:t>
      </w:r>
      <w:r w:rsidR="00937B4B" w:rsidRPr="00937B4B">
        <w:rPr>
          <w:lang w:val="es-ES"/>
        </w:rPr>
        <w:t>o 2035</w:t>
      </w:r>
      <w:r w:rsidR="00937B4B">
        <w:rPr>
          <w:lang w:val="es-ES"/>
        </w:rPr>
        <w:t>.</w:t>
      </w:r>
    </w:p>
    <w:p w14:paraId="6EC390EE" w14:textId="79C3030B" w:rsidR="00C15EBE" w:rsidRDefault="00C15EBE" w:rsidP="00D335F4">
      <w:pPr>
        <w:pStyle w:val="ListParagraph"/>
        <w:numPr>
          <w:ilvl w:val="1"/>
          <w:numId w:val="2"/>
        </w:numPr>
        <w:rPr>
          <w:lang w:val="es-ES"/>
        </w:rPr>
      </w:pPr>
      <w:r>
        <w:rPr>
          <w:lang w:val="es-ES"/>
        </w:rPr>
        <w:t>Demanda de matrículas secundarias</w:t>
      </w:r>
      <w:r w:rsidR="00937B4B">
        <w:rPr>
          <w:lang w:val="es-ES"/>
        </w:rPr>
        <w:t>: Estos datos muestran</w:t>
      </w:r>
      <w:r w:rsidR="00937B4B" w:rsidRPr="00DE2437">
        <w:rPr>
          <w:lang w:val="es-ES"/>
        </w:rPr>
        <w:t xml:space="preserve"> la demanda mensual por matr</w:t>
      </w:r>
      <w:r w:rsidR="00937B4B" w:rsidRPr="00DE2437">
        <w:rPr>
          <w:rFonts w:hint="eastAsia"/>
          <w:lang w:val="es-ES"/>
        </w:rPr>
        <w:t>í</w:t>
      </w:r>
      <w:r w:rsidR="00937B4B" w:rsidRPr="00DE2437">
        <w:rPr>
          <w:lang w:val="es-ES"/>
        </w:rPr>
        <w:t>culas para educaci</w:t>
      </w:r>
      <w:r w:rsidR="00937B4B" w:rsidRPr="00DE2437">
        <w:rPr>
          <w:rFonts w:hint="eastAsia"/>
          <w:lang w:val="es-ES"/>
        </w:rPr>
        <w:t>ó</w:t>
      </w:r>
      <w:r w:rsidR="00937B4B" w:rsidRPr="00DE2437">
        <w:rPr>
          <w:lang w:val="es-ES"/>
        </w:rPr>
        <w:t>n media en la comuna proyectada hasta el a</w:t>
      </w:r>
      <w:r w:rsidR="00937B4B" w:rsidRPr="00DE2437">
        <w:rPr>
          <w:rFonts w:hint="eastAsia"/>
          <w:lang w:val="es-ES"/>
        </w:rPr>
        <w:t>ñ</w:t>
      </w:r>
      <w:r w:rsidR="00937B4B" w:rsidRPr="00DE2437">
        <w:rPr>
          <w:lang w:val="es-ES"/>
        </w:rPr>
        <w:t>o 2035</w:t>
      </w:r>
      <w:r w:rsidR="00937B4B">
        <w:rPr>
          <w:lang w:val="es-ES"/>
        </w:rPr>
        <w:t>.</w:t>
      </w:r>
    </w:p>
    <w:p w14:paraId="647CF3FB" w14:textId="77777777" w:rsidR="00937B4B" w:rsidRDefault="00937B4B" w:rsidP="00937B4B">
      <w:pPr>
        <w:pStyle w:val="ListParagraph"/>
        <w:ind w:left="1440"/>
        <w:rPr>
          <w:lang w:val="es-ES"/>
        </w:rPr>
      </w:pPr>
    </w:p>
    <w:p w14:paraId="5FF4C591" w14:textId="7A56B544" w:rsidR="00C15EBE" w:rsidRDefault="00E37125" w:rsidP="00C15EBE">
      <w:pPr>
        <w:pStyle w:val="ListParagraph"/>
        <w:numPr>
          <w:ilvl w:val="0"/>
          <w:numId w:val="2"/>
        </w:numPr>
        <w:rPr>
          <w:lang w:val="es-ES"/>
        </w:rPr>
      </w:pPr>
      <w:r w:rsidRPr="00E37125">
        <w:rPr>
          <w:lang w:val="es-ES"/>
        </w:rPr>
        <w:t>Turistas formales</w:t>
      </w:r>
    </w:p>
    <w:p w14:paraId="6B74F9D9" w14:textId="352B884F" w:rsidR="00820204" w:rsidRPr="00820204" w:rsidRDefault="00820204" w:rsidP="00820204">
      <w:pPr>
        <w:pStyle w:val="ListParagraph"/>
      </w:pPr>
      <w:r>
        <w:rPr>
          <w:lang w:val="es-ES"/>
        </w:rPr>
        <w:t>R</w:t>
      </w:r>
      <w:r w:rsidRPr="00820204">
        <w:rPr>
          <w:lang w:val="es-ES"/>
        </w:rPr>
        <w:t>epresenta la proyecci</w:t>
      </w:r>
      <w:r w:rsidRPr="00820204">
        <w:rPr>
          <w:rFonts w:hint="eastAsia"/>
          <w:lang w:val="es-ES"/>
        </w:rPr>
        <w:t>ó</w:t>
      </w:r>
      <w:r w:rsidRPr="00820204">
        <w:rPr>
          <w:lang w:val="es-ES"/>
        </w:rPr>
        <w:t>n de la demanda de alojamiento tur</w:t>
      </w:r>
      <w:r w:rsidRPr="00820204">
        <w:rPr>
          <w:rFonts w:hint="eastAsia"/>
          <w:lang w:val="es-ES"/>
        </w:rPr>
        <w:t>í</w:t>
      </w:r>
      <w:r w:rsidRPr="00820204">
        <w:rPr>
          <w:lang w:val="es-ES"/>
        </w:rPr>
        <w:t>sticos formales en la comuna a nivel mensual</w:t>
      </w:r>
    </w:p>
    <w:p w14:paraId="3CB5935F" w14:textId="3B8C0591" w:rsidR="00E37125" w:rsidRDefault="00E37125" w:rsidP="00E37125">
      <w:pPr>
        <w:pStyle w:val="ListParagraph"/>
        <w:numPr>
          <w:ilvl w:val="1"/>
          <w:numId w:val="2"/>
        </w:numPr>
        <w:rPr>
          <w:lang w:val="es-ES"/>
        </w:rPr>
      </w:pPr>
      <w:r>
        <w:rPr>
          <w:lang w:val="es-ES"/>
        </w:rPr>
        <w:t>Demanda de plazas</w:t>
      </w:r>
      <w:r w:rsidR="00FB1638">
        <w:rPr>
          <w:lang w:val="es-ES"/>
        </w:rPr>
        <w:t>: d</w:t>
      </w:r>
      <w:r w:rsidR="00FB1638" w:rsidRPr="00FB1638">
        <w:rPr>
          <w:lang w:val="es-ES"/>
        </w:rPr>
        <w:t>emanda mensual por camas para el alojamiento formal de turistas equivalentes (quienes pernoctaron en un establecimiento de alojamiento tur</w:t>
      </w:r>
      <w:r w:rsidR="00FB1638" w:rsidRPr="00FB1638">
        <w:rPr>
          <w:rFonts w:hint="eastAsia"/>
          <w:lang w:val="es-ES"/>
        </w:rPr>
        <w:t>í</w:t>
      </w:r>
      <w:r w:rsidR="00FB1638" w:rsidRPr="00FB1638">
        <w:rPr>
          <w:lang w:val="es-ES"/>
        </w:rPr>
        <w:t>stico), hasta el a</w:t>
      </w:r>
      <w:r w:rsidR="00FB1638" w:rsidRPr="00FB1638">
        <w:rPr>
          <w:rFonts w:hint="eastAsia"/>
          <w:lang w:val="es-ES"/>
        </w:rPr>
        <w:t>ñ</w:t>
      </w:r>
      <w:r w:rsidR="00FB1638" w:rsidRPr="00FB1638">
        <w:rPr>
          <w:lang w:val="es-ES"/>
        </w:rPr>
        <w:t>o 2035.</w:t>
      </w:r>
    </w:p>
    <w:p w14:paraId="574DE5E5" w14:textId="77777777" w:rsidR="00FB1638" w:rsidRPr="00FB1638" w:rsidRDefault="00FB1638" w:rsidP="00FB1638">
      <w:pPr>
        <w:ind w:left="1080"/>
        <w:rPr>
          <w:lang w:val="es-ES"/>
        </w:rPr>
      </w:pPr>
    </w:p>
    <w:p w14:paraId="15CC049E" w14:textId="1BFD5177" w:rsidR="00E37125" w:rsidRDefault="00C77EA4" w:rsidP="00E37125">
      <w:pPr>
        <w:pStyle w:val="ListParagraph"/>
        <w:numPr>
          <w:ilvl w:val="0"/>
          <w:numId w:val="2"/>
        </w:numPr>
        <w:rPr>
          <w:lang w:val="es-ES"/>
        </w:rPr>
      </w:pPr>
      <w:r>
        <w:rPr>
          <w:lang w:val="es-ES"/>
        </w:rPr>
        <w:t>Motorización</w:t>
      </w:r>
    </w:p>
    <w:p w14:paraId="602AFB40" w14:textId="136281B1" w:rsidR="00C85020" w:rsidRPr="00C85020" w:rsidRDefault="00C85020" w:rsidP="00C85020">
      <w:pPr>
        <w:pStyle w:val="ListParagraph"/>
        <w:rPr>
          <w:lang w:val="es-ES"/>
        </w:rPr>
      </w:pPr>
      <w:r w:rsidRPr="00C85020">
        <w:rPr>
          <w:lang w:val="es-ES"/>
        </w:rPr>
        <w:t>Representa la proyección del numero de vehículos que circulan mensualmente en la comuna</w:t>
      </w:r>
      <w:r>
        <w:rPr>
          <w:lang w:val="es-ES"/>
        </w:rPr>
        <w:t>. Incluye:</w:t>
      </w:r>
    </w:p>
    <w:p w14:paraId="3C9E3BA8" w14:textId="75E61E62" w:rsidR="00C77EA4" w:rsidRDefault="00C77EA4" w:rsidP="00C77EA4">
      <w:pPr>
        <w:pStyle w:val="ListParagraph"/>
        <w:numPr>
          <w:ilvl w:val="1"/>
          <w:numId w:val="2"/>
        </w:numPr>
        <w:rPr>
          <w:lang w:val="es-ES"/>
        </w:rPr>
      </w:pPr>
      <w:r>
        <w:rPr>
          <w:lang w:val="es-ES"/>
        </w:rPr>
        <w:t>Número de vehículos totales</w:t>
      </w:r>
      <w:r w:rsidR="00ED204A">
        <w:rPr>
          <w:lang w:val="es-ES"/>
        </w:rPr>
        <w:t xml:space="preserve">: </w:t>
      </w:r>
      <w:r w:rsidR="00ED204A" w:rsidRPr="00ED204A">
        <w:rPr>
          <w:lang w:val="es-ES"/>
        </w:rPr>
        <w:t>proyecci</w:t>
      </w:r>
      <w:r w:rsidR="00ED204A" w:rsidRPr="00ED204A">
        <w:rPr>
          <w:rFonts w:hint="eastAsia"/>
          <w:lang w:val="es-ES"/>
        </w:rPr>
        <w:t>ó</w:t>
      </w:r>
      <w:r w:rsidR="00ED204A" w:rsidRPr="00ED204A">
        <w:rPr>
          <w:lang w:val="es-ES"/>
        </w:rPr>
        <w:t>n del total de veh</w:t>
      </w:r>
      <w:r w:rsidR="00ED204A" w:rsidRPr="00ED204A">
        <w:rPr>
          <w:rFonts w:hint="eastAsia"/>
          <w:lang w:val="es-ES"/>
        </w:rPr>
        <w:t>í</w:t>
      </w:r>
      <w:r w:rsidR="00ED204A" w:rsidRPr="00ED204A">
        <w:rPr>
          <w:lang w:val="es-ES"/>
        </w:rPr>
        <w:t>culos al mes que podr</w:t>
      </w:r>
      <w:r w:rsidR="00ED204A" w:rsidRPr="00ED204A">
        <w:rPr>
          <w:rFonts w:hint="eastAsia"/>
          <w:lang w:val="es-ES"/>
        </w:rPr>
        <w:t>í</w:t>
      </w:r>
      <w:r w:rsidR="00ED204A" w:rsidRPr="00ED204A">
        <w:rPr>
          <w:lang w:val="es-ES"/>
        </w:rPr>
        <w:t>an circular por la comuna, hacia el a</w:t>
      </w:r>
      <w:r w:rsidR="00ED204A" w:rsidRPr="00ED204A">
        <w:rPr>
          <w:rFonts w:hint="eastAsia"/>
          <w:lang w:val="es-ES"/>
        </w:rPr>
        <w:t>ñ</w:t>
      </w:r>
      <w:r w:rsidR="00ED204A" w:rsidRPr="00ED204A">
        <w:rPr>
          <w:lang w:val="es-ES"/>
        </w:rPr>
        <w:t>o 2035.</w:t>
      </w:r>
    </w:p>
    <w:p w14:paraId="05DB73DB" w14:textId="4DD4B7AE" w:rsidR="00C77EA4" w:rsidRDefault="00C77EA4" w:rsidP="00C77EA4">
      <w:pPr>
        <w:pStyle w:val="ListParagraph"/>
        <w:numPr>
          <w:ilvl w:val="1"/>
          <w:numId w:val="2"/>
        </w:numPr>
        <w:rPr>
          <w:lang w:val="es-ES"/>
        </w:rPr>
      </w:pPr>
      <w:r>
        <w:rPr>
          <w:lang w:val="es-ES"/>
        </w:rPr>
        <w:t>Número de vehículos de residentes</w:t>
      </w:r>
      <w:r w:rsidR="00ED204A">
        <w:rPr>
          <w:lang w:val="es-ES"/>
        </w:rPr>
        <w:t xml:space="preserve">: </w:t>
      </w:r>
      <w:r w:rsidR="00ED204A" w:rsidRPr="00ED204A">
        <w:rPr>
          <w:lang w:val="es-ES"/>
        </w:rPr>
        <w:t>proyecci</w:t>
      </w:r>
      <w:r w:rsidR="00ED204A" w:rsidRPr="00ED204A">
        <w:rPr>
          <w:rFonts w:hint="eastAsia"/>
          <w:lang w:val="es-ES"/>
        </w:rPr>
        <w:t>ó</w:t>
      </w:r>
      <w:r w:rsidR="00ED204A" w:rsidRPr="00ED204A">
        <w:rPr>
          <w:lang w:val="es-ES"/>
        </w:rPr>
        <w:t>n de veh</w:t>
      </w:r>
      <w:r w:rsidR="00ED204A" w:rsidRPr="00ED204A">
        <w:rPr>
          <w:rFonts w:hint="eastAsia"/>
          <w:lang w:val="es-ES"/>
        </w:rPr>
        <w:t>í</w:t>
      </w:r>
      <w:r w:rsidR="00ED204A" w:rsidRPr="00ED204A">
        <w:rPr>
          <w:lang w:val="es-ES"/>
        </w:rPr>
        <w:t>culos de residentes al mes que podr</w:t>
      </w:r>
      <w:r w:rsidR="00ED204A" w:rsidRPr="00ED204A">
        <w:rPr>
          <w:rFonts w:hint="eastAsia"/>
          <w:lang w:val="es-ES"/>
        </w:rPr>
        <w:t>í</w:t>
      </w:r>
      <w:r w:rsidR="00ED204A" w:rsidRPr="00ED204A">
        <w:rPr>
          <w:lang w:val="es-ES"/>
        </w:rPr>
        <w:t>an circular por la comuna, hacia el a</w:t>
      </w:r>
      <w:r w:rsidR="00ED204A" w:rsidRPr="00ED204A">
        <w:rPr>
          <w:rFonts w:hint="eastAsia"/>
          <w:lang w:val="es-ES"/>
        </w:rPr>
        <w:t>ñ</w:t>
      </w:r>
      <w:r w:rsidR="00ED204A" w:rsidRPr="00ED204A">
        <w:rPr>
          <w:lang w:val="es-ES"/>
        </w:rPr>
        <w:t>o 2035.</w:t>
      </w:r>
    </w:p>
    <w:p w14:paraId="592E701F" w14:textId="28C6A4F3" w:rsidR="00C77EA4" w:rsidRDefault="00C77EA4" w:rsidP="00C312CE">
      <w:pPr>
        <w:pStyle w:val="ListParagraph"/>
        <w:numPr>
          <w:ilvl w:val="1"/>
          <w:numId w:val="2"/>
        </w:numPr>
        <w:rPr>
          <w:lang w:val="es-ES"/>
        </w:rPr>
      </w:pPr>
      <w:r>
        <w:rPr>
          <w:lang w:val="es-ES"/>
        </w:rPr>
        <w:t xml:space="preserve">Número de </w:t>
      </w:r>
      <w:r w:rsidR="004C591B">
        <w:rPr>
          <w:lang w:val="es-ES"/>
        </w:rPr>
        <w:t>v</w:t>
      </w:r>
      <w:r>
        <w:rPr>
          <w:lang w:val="es-ES"/>
        </w:rPr>
        <w:t>ehículos de</w:t>
      </w:r>
      <w:r w:rsidR="004C591B">
        <w:rPr>
          <w:lang w:val="es-ES"/>
        </w:rPr>
        <w:t xml:space="preserve"> flotantes</w:t>
      </w:r>
      <w:r w:rsidR="00ED204A">
        <w:rPr>
          <w:lang w:val="es-ES"/>
        </w:rPr>
        <w:t xml:space="preserve">: </w:t>
      </w:r>
      <w:r w:rsidR="00687DA7">
        <w:rPr>
          <w:lang w:val="es-ES"/>
        </w:rPr>
        <w:t>P</w:t>
      </w:r>
      <w:r w:rsidR="00687DA7" w:rsidRPr="00687DA7">
        <w:rPr>
          <w:lang w:val="es-ES"/>
        </w:rPr>
        <w:t>royecci</w:t>
      </w:r>
      <w:r w:rsidR="00687DA7" w:rsidRPr="00687DA7">
        <w:rPr>
          <w:rFonts w:hint="eastAsia"/>
          <w:lang w:val="es-ES"/>
        </w:rPr>
        <w:t>ó</w:t>
      </w:r>
      <w:r w:rsidR="00687DA7" w:rsidRPr="00687DA7">
        <w:rPr>
          <w:lang w:val="es-ES"/>
        </w:rPr>
        <w:t>n de demanda mensual por camas para el alojamiento formal de</w:t>
      </w:r>
      <w:r w:rsidR="00687DA7">
        <w:rPr>
          <w:lang w:val="es-ES"/>
        </w:rPr>
        <w:t xml:space="preserve"> </w:t>
      </w:r>
      <w:r w:rsidR="00687DA7" w:rsidRPr="00687DA7">
        <w:rPr>
          <w:lang w:val="es-ES"/>
        </w:rPr>
        <w:t>turistas equivalentes (quienes pernoctaron en un establecimiento de alojamiento tur</w:t>
      </w:r>
      <w:r w:rsidR="00687DA7" w:rsidRPr="00687DA7">
        <w:rPr>
          <w:rFonts w:hint="eastAsia"/>
          <w:lang w:val="es-ES"/>
        </w:rPr>
        <w:t>í</w:t>
      </w:r>
      <w:r w:rsidR="00687DA7" w:rsidRPr="00687DA7">
        <w:rPr>
          <w:lang w:val="es-ES"/>
        </w:rPr>
        <w:t>stico), hasta el a</w:t>
      </w:r>
      <w:r w:rsidR="00687DA7" w:rsidRPr="00687DA7">
        <w:rPr>
          <w:rFonts w:hint="eastAsia"/>
          <w:lang w:val="es-ES"/>
        </w:rPr>
        <w:t>ñ</w:t>
      </w:r>
      <w:r w:rsidR="00687DA7" w:rsidRPr="00687DA7">
        <w:rPr>
          <w:lang w:val="es-ES"/>
        </w:rPr>
        <w:t>o 2035.</w:t>
      </w:r>
    </w:p>
    <w:p w14:paraId="38C9A9E0" w14:textId="2DCFD23C" w:rsidR="00AF0CF3" w:rsidRDefault="00AF0CF3" w:rsidP="007F7996">
      <w:pPr>
        <w:pStyle w:val="Heading1"/>
        <w:numPr>
          <w:ilvl w:val="0"/>
          <w:numId w:val="0"/>
        </w:numPr>
        <w:ind w:left="432" w:hanging="432"/>
        <w:rPr>
          <w:lang w:val="es-ES"/>
        </w:rPr>
      </w:pPr>
    </w:p>
    <w:p w14:paraId="7547A1A9" w14:textId="0808A67C" w:rsidR="00FF6161" w:rsidRDefault="000F2FAA" w:rsidP="00145AB1">
      <w:pPr>
        <w:pStyle w:val="Heading1"/>
        <w:rPr>
          <w:lang w:val="es-ES"/>
        </w:rPr>
      </w:pPr>
      <w:r>
        <w:rPr>
          <w:lang w:val="es-ES"/>
        </w:rPr>
        <w:t>Datos de base para modelos, modelos y g</w:t>
      </w:r>
      <w:r w:rsidR="00145AB1">
        <w:rPr>
          <w:lang w:val="es-ES"/>
        </w:rPr>
        <w:t>ráficos</w:t>
      </w:r>
    </w:p>
    <w:p w14:paraId="0C171218" w14:textId="50C62E39" w:rsidR="000F2FAA" w:rsidRDefault="000F2FAA" w:rsidP="000F2FAA">
      <w:pPr>
        <w:rPr>
          <w:lang w:val="es-ES"/>
        </w:rPr>
      </w:pPr>
      <w:r>
        <w:rPr>
          <w:lang w:val="es-ES"/>
        </w:rPr>
        <w:t xml:space="preserve">Las proyecciones se basan en datos </w:t>
      </w:r>
      <w:r w:rsidR="00B170F8">
        <w:rPr>
          <w:lang w:val="es-ES"/>
        </w:rPr>
        <w:t>provenientes de</w:t>
      </w:r>
      <w:r>
        <w:rPr>
          <w:lang w:val="es-ES"/>
        </w:rPr>
        <w:t xml:space="preserve">: </w:t>
      </w:r>
    </w:p>
    <w:p w14:paraId="7A11259D" w14:textId="4696D6C9" w:rsidR="00DB2050" w:rsidRPr="00DB2050" w:rsidRDefault="00DB2050" w:rsidP="005E2827">
      <w:pPr>
        <w:pStyle w:val="ListParagraph"/>
        <w:numPr>
          <w:ilvl w:val="0"/>
          <w:numId w:val="5"/>
        </w:numPr>
        <w:rPr>
          <w:lang w:val="es-ES"/>
        </w:rPr>
      </w:pPr>
      <w:r w:rsidRPr="00DB2050">
        <w:rPr>
          <w:lang w:val="es-ES"/>
        </w:rPr>
        <w:t>Encuesta de Caracterizaci</w:t>
      </w:r>
      <w:r w:rsidRPr="00DB2050">
        <w:rPr>
          <w:rFonts w:hint="eastAsia"/>
          <w:lang w:val="es-ES"/>
        </w:rPr>
        <w:t>ó</w:t>
      </w:r>
      <w:r w:rsidRPr="00DB2050">
        <w:rPr>
          <w:lang w:val="es-ES"/>
        </w:rPr>
        <w:t>n Socioecon</w:t>
      </w:r>
      <w:r w:rsidRPr="00DB2050">
        <w:rPr>
          <w:rFonts w:hint="eastAsia"/>
          <w:lang w:val="es-ES"/>
        </w:rPr>
        <w:t>ó</w:t>
      </w:r>
      <w:r w:rsidRPr="00DB2050">
        <w:rPr>
          <w:lang w:val="es-ES"/>
        </w:rPr>
        <w:t>mica Nacional (CASEN) realizada por Ministerio de Desarrollo Social desde el a</w:t>
      </w:r>
      <w:r w:rsidRPr="00DB2050">
        <w:rPr>
          <w:rFonts w:hint="eastAsia"/>
          <w:lang w:val="es-ES"/>
        </w:rPr>
        <w:t>ñ</w:t>
      </w:r>
      <w:r w:rsidRPr="00DB2050">
        <w:rPr>
          <w:lang w:val="es-ES"/>
        </w:rPr>
        <w:t>o 1990 con una periodicidad bianual o trianual. Las CASEN utilizadas incluyen los a</w:t>
      </w:r>
      <w:r w:rsidRPr="00DB2050">
        <w:rPr>
          <w:rFonts w:hint="eastAsia"/>
          <w:lang w:val="es-ES"/>
        </w:rPr>
        <w:t>ñ</w:t>
      </w:r>
      <w:r w:rsidRPr="00DB2050">
        <w:rPr>
          <w:lang w:val="es-ES"/>
        </w:rPr>
        <w:t>os</w:t>
      </w:r>
      <w:r w:rsidR="00E52C1E" w:rsidRPr="005E2827">
        <w:endnoteReference w:id="1"/>
      </w:r>
      <w:r w:rsidRPr="00DB2050">
        <w:rPr>
          <w:lang w:val="es-ES"/>
        </w:rPr>
        <w:t xml:space="preserve"> 1990, 1992, 1994, 1996, 1998, 2000, 2003, 2006, 2009, 2013, 2105 y 2017</w:t>
      </w:r>
      <w:r w:rsidR="00E52C1E">
        <w:rPr>
          <w:lang w:val="es-ES"/>
        </w:rPr>
        <w:t xml:space="preserve"> </w:t>
      </w:r>
      <w:r w:rsidRPr="00DB2050">
        <w:rPr>
          <w:lang w:val="es-ES"/>
        </w:rPr>
        <w:t xml:space="preserve">(http://observatorio.ministeriodesarrollosocial.gob.cl/encuesta-casen). </w:t>
      </w:r>
    </w:p>
    <w:p w14:paraId="7EDCF8AF" w14:textId="23BABC08" w:rsidR="00DB2050" w:rsidRPr="00DB2050" w:rsidRDefault="00DB2050" w:rsidP="005E2827">
      <w:pPr>
        <w:pStyle w:val="ListParagraph"/>
        <w:numPr>
          <w:ilvl w:val="0"/>
          <w:numId w:val="5"/>
        </w:numPr>
        <w:rPr>
          <w:lang w:val="es-ES"/>
        </w:rPr>
      </w:pPr>
      <w:r w:rsidRPr="00DB2050">
        <w:rPr>
          <w:lang w:val="es-ES"/>
        </w:rPr>
        <w:t xml:space="preserve">Proyecciones de habitantes por comuna del Instituto Nacional de Estadística (INE): Población y segmentos etarios por comuna del 2002 al 2035 (https://www.ine.cl/estadisticas/sociales/demografia-y-vitales/proyecciones-de-poblacion). Este ajuste es superior a los datos del Censo para el 2002, 2012 y 2017, puesto que se corrige ciertos errores (por ejemplo, existe una porción de la población no censada para esos periodos). </w:t>
      </w:r>
    </w:p>
    <w:p w14:paraId="7E3D4D21" w14:textId="4DCC3EAB" w:rsidR="00DB2050" w:rsidRPr="00DB2050" w:rsidRDefault="00DB2050" w:rsidP="005E2827">
      <w:pPr>
        <w:pStyle w:val="ListParagraph"/>
        <w:numPr>
          <w:ilvl w:val="0"/>
          <w:numId w:val="5"/>
        </w:numPr>
        <w:rPr>
          <w:lang w:val="es-ES"/>
        </w:rPr>
      </w:pPr>
      <w:proofErr w:type="spellStart"/>
      <w:r w:rsidRPr="00DB2050">
        <w:rPr>
          <w:lang w:val="es-ES"/>
        </w:rPr>
        <w:t>Geodatos</w:t>
      </w:r>
      <w:proofErr w:type="spellEnd"/>
      <w:r w:rsidRPr="00DB2050">
        <w:rPr>
          <w:lang w:val="es-ES"/>
        </w:rPr>
        <w:t xml:space="preserve"> abiertos del INE: capa de datos espaciales para superficie, latitud y longitud referencial de comunas.</w:t>
      </w:r>
    </w:p>
    <w:p w14:paraId="10C4D910" w14:textId="2F8D1611" w:rsidR="00DB2050" w:rsidRPr="00DB2050" w:rsidRDefault="00DB2050" w:rsidP="005E2827">
      <w:pPr>
        <w:pStyle w:val="ListParagraph"/>
        <w:numPr>
          <w:ilvl w:val="0"/>
          <w:numId w:val="5"/>
        </w:numPr>
        <w:rPr>
          <w:lang w:val="es-ES"/>
        </w:rPr>
      </w:pPr>
      <w:r w:rsidRPr="00DB2050">
        <w:rPr>
          <w:lang w:val="es-ES"/>
        </w:rPr>
        <w:t>Banco Mundial:</w:t>
      </w:r>
      <w:r w:rsidRPr="00DB2050">
        <w:rPr>
          <w:lang w:val="es-ES"/>
        </w:rPr>
        <w:tab/>
        <w:t>PIB per cápita en paridad de poder adquisitivo (https://data.worldbank.org/indicator/PA.NUS.PPP).</w:t>
      </w:r>
    </w:p>
    <w:p w14:paraId="6AC7E7D8" w14:textId="52944BE3" w:rsidR="00DB2050" w:rsidRPr="00DB2050" w:rsidRDefault="00DB2050" w:rsidP="005E2827">
      <w:pPr>
        <w:pStyle w:val="ListParagraph"/>
        <w:numPr>
          <w:ilvl w:val="0"/>
          <w:numId w:val="5"/>
        </w:numPr>
        <w:rPr>
          <w:lang w:val="es-ES"/>
        </w:rPr>
      </w:pPr>
      <w:r w:rsidRPr="00DB2050">
        <w:rPr>
          <w:lang w:val="es-ES"/>
        </w:rPr>
        <w:t>Ministerio de Educación: número de matrículas a nivel comunal (http://datos.mineduc.cl/).</w:t>
      </w:r>
    </w:p>
    <w:p w14:paraId="121629AE" w14:textId="1E3028C5" w:rsidR="00DB2050" w:rsidRPr="00DB2050" w:rsidRDefault="00DB2050" w:rsidP="005E2827">
      <w:pPr>
        <w:pStyle w:val="ListParagraph"/>
        <w:numPr>
          <w:ilvl w:val="0"/>
          <w:numId w:val="5"/>
        </w:numPr>
        <w:rPr>
          <w:lang w:val="es-ES"/>
        </w:rPr>
      </w:pPr>
      <w:r w:rsidRPr="00DB2050">
        <w:rPr>
          <w:lang w:val="es-ES"/>
        </w:rPr>
        <w:t>Encuesta Nacional de Empleo del INE: situación de desempleo de población por segmentos etarios (https://bancodatosene.ine.cl).</w:t>
      </w:r>
    </w:p>
    <w:p w14:paraId="0F77B1DC" w14:textId="3898D739" w:rsidR="000F2FAA" w:rsidRDefault="00DB2050" w:rsidP="005E2827">
      <w:pPr>
        <w:pStyle w:val="ListParagraph"/>
        <w:numPr>
          <w:ilvl w:val="0"/>
          <w:numId w:val="5"/>
        </w:numPr>
        <w:rPr>
          <w:lang w:val="es-ES"/>
        </w:rPr>
      </w:pPr>
      <w:proofErr w:type="spellStart"/>
      <w:r w:rsidRPr="00DB2050">
        <w:rPr>
          <w:lang w:val="es-ES"/>
        </w:rPr>
        <w:t>Macrotrends</w:t>
      </w:r>
      <w:proofErr w:type="spellEnd"/>
      <w:r w:rsidRPr="00DB2050">
        <w:rPr>
          <w:lang w:val="es-ES"/>
        </w:rPr>
        <w:t>: precios históricos del cobre (</w:t>
      </w:r>
      <w:hyperlink r:id="rId8" w:history="1">
        <w:r w:rsidR="00505D3B" w:rsidRPr="005E2827">
          <w:rPr>
            <w:lang w:val="es-ES"/>
          </w:rPr>
          <w:t>https://www.macrotrends.net</w:t>
        </w:r>
      </w:hyperlink>
      <w:r w:rsidRPr="00DB2050">
        <w:rPr>
          <w:lang w:val="es-ES"/>
        </w:rPr>
        <w:t>).</w:t>
      </w:r>
    </w:p>
    <w:p w14:paraId="42022BAD" w14:textId="5A856E63" w:rsidR="00505D3B" w:rsidRDefault="00C0222E" w:rsidP="005E2827">
      <w:pPr>
        <w:pStyle w:val="ListParagraph"/>
        <w:numPr>
          <w:ilvl w:val="0"/>
          <w:numId w:val="5"/>
        </w:numPr>
        <w:rPr>
          <w:lang w:val="es-ES"/>
        </w:rPr>
      </w:pPr>
      <w:r w:rsidRPr="00C0222E">
        <w:rPr>
          <w:lang w:val="es-ES"/>
        </w:rPr>
        <w:t xml:space="preserve">SGS SIGA (2018). Diagnóstico de la situación por comuna y por región en materia de RSD y asimilables. Subsecretaria de Desarrollo Regional y Administrativo. Disponible en </w:t>
      </w:r>
      <w:hyperlink r:id="rId9" w:history="1">
        <w:r w:rsidRPr="005E2827">
          <w:rPr>
            <w:lang w:val="es-ES"/>
          </w:rPr>
          <w:t>https://bit.ly/3g8RT2L</w:t>
        </w:r>
      </w:hyperlink>
      <w:r w:rsidRPr="00C0222E">
        <w:rPr>
          <w:lang w:val="es-ES"/>
        </w:rPr>
        <w:t>.</w:t>
      </w:r>
    </w:p>
    <w:p w14:paraId="2735B7E9" w14:textId="4BE8AD25" w:rsidR="00782523" w:rsidRPr="005E2827" w:rsidRDefault="009863A2" w:rsidP="005E2827">
      <w:pPr>
        <w:pStyle w:val="ListParagraph"/>
        <w:numPr>
          <w:ilvl w:val="0"/>
          <w:numId w:val="5"/>
        </w:numPr>
        <w:rPr>
          <w:lang w:val="es-ES"/>
        </w:rPr>
      </w:pPr>
      <w:r w:rsidRPr="009863A2">
        <w:rPr>
          <w:lang w:val="es-ES"/>
        </w:rPr>
        <w:t>SERNATUR: datos de estimación de población flotante por motivos turísticos total anual por comuna desde 2010 al 2019.</w:t>
      </w:r>
    </w:p>
    <w:p w14:paraId="38E14475" w14:textId="7EBB768A" w:rsidR="00BB0903" w:rsidRPr="005E2827" w:rsidRDefault="005E2827" w:rsidP="005E2827">
      <w:pPr>
        <w:pStyle w:val="ListParagraph"/>
        <w:numPr>
          <w:ilvl w:val="0"/>
          <w:numId w:val="5"/>
        </w:numPr>
        <w:rPr>
          <w:lang w:val="es-ES"/>
        </w:rPr>
      </w:pPr>
      <w:r>
        <w:rPr>
          <w:lang w:val="es-ES"/>
        </w:rPr>
        <w:t xml:space="preserve">Datos </w:t>
      </w:r>
      <w:r w:rsidR="0058001F" w:rsidRPr="005E2827">
        <w:rPr>
          <w:lang w:val="es-ES"/>
        </w:rPr>
        <w:t xml:space="preserve">ELEMAT: </w:t>
      </w:r>
      <w:r w:rsidR="00BB0903" w:rsidRPr="005E2827">
        <w:rPr>
          <w:lang w:val="es-ES"/>
        </w:rPr>
        <w:t>Datos de estancia y llegadas de turistas por destino de la encuesta ELEMAT del INE</w:t>
      </w:r>
      <w:r>
        <w:rPr>
          <w:lang w:val="es-ES"/>
        </w:rPr>
        <w:t>, del 2014-2017 mensual</w:t>
      </w:r>
      <w:r w:rsidR="00BB0903" w:rsidRPr="005E2827">
        <w:rPr>
          <w:lang w:val="es-ES"/>
        </w:rPr>
        <w:t xml:space="preserve">. </w:t>
      </w:r>
    </w:p>
    <w:p w14:paraId="65E5C4BD" w14:textId="4B072395" w:rsidR="0058001F" w:rsidRPr="005E2827" w:rsidRDefault="0058001F" w:rsidP="005E2827">
      <w:pPr>
        <w:pStyle w:val="ListParagraph"/>
        <w:numPr>
          <w:ilvl w:val="0"/>
          <w:numId w:val="5"/>
        </w:numPr>
        <w:rPr>
          <w:lang w:val="es-ES"/>
        </w:rPr>
      </w:pPr>
      <w:r w:rsidRPr="005E2827">
        <w:rPr>
          <w:lang w:val="es-ES"/>
        </w:rPr>
        <w:lastRenderedPageBreak/>
        <w:t>Ministerio de Educación (MINEDUC</w:t>
      </w:r>
      <w:r w:rsidR="005E2827" w:rsidRPr="005E2827">
        <w:rPr>
          <w:lang w:val="es-ES"/>
        </w:rPr>
        <w:t>)</w:t>
      </w:r>
      <w:r w:rsidRPr="005E2827">
        <w:rPr>
          <w:lang w:val="es-ES"/>
        </w:rPr>
        <w:t xml:space="preserve">: </w:t>
      </w:r>
      <w:r w:rsidR="005E2827" w:rsidRPr="005E2827">
        <w:rPr>
          <w:lang w:val="es-ES"/>
        </w:rPr>
        <w:t>Matrículas</w:t>
      </w:r>
      <w:r w:rsidRPr="005E2827">
        <w:rPr>
          <w:lang w:val="es-ES"/>
        </w:rPr>
        <w:t xml:space="preserve"> por establecimiento y comuna entre los </w:t>
      </w:r>
      <w:r w:rsidR="005E2827" w:rsidRPr="005E2827">
        <w:rPr>
          <w:lang w:val="es-ES"/>
        </w:rPr>
        <w:t>años</w:t>
      </w:r>
      <w:r w:rsidRPr="005E2827">
        <w:rPr>
          <w:lang w:val="es-ES"/>
        </w:rPr>
        <w:t xml:space="preserve"> 2004 y 2019.</w:t>
      </w:r>
    </w:p>
    <w:p w14:paraId="65318C41" w14:textId="6BECEF75" w:rsidR="0058001F" w:rsidRDefault="0058001F" w:rsidP="005E2827">
      <w:pPr>
        <w:rPr>
          <w:lang w:val="es-ES"/>
        </w:rPr>
      </w:pPr>
    </w:p>
    <w:p w14:paraId="577F2767" w14:textId="11A68874" w:rsidR="000F2FAA" w:rsidRDefault="00CA0813" w:rsidP="000F2FAA">
      <w:pPr>
        <w:rPr>
          <w:lang w:val="es-ES"/>
        </w:rPr>
      </w:pPr>
      <w:r>
        <w:rPr>
          <w:lang w:val="es-ES"/>
        </w:rPr>
        <w:t xml:space="preserve">Los modelos para proyectar en el futuro se hacen por medio de econometría, usando valores iniciales de Copiapó al 2017. </w:t>
      </w:r>
    </w:p>
    <w:p w14:paraId="4949EB3C" w14:textId="7750B160" w:rsidR="0075778C" w:rsidRDefault="0075778C" w:rsidP="000F2FAA">
      <w:pPr>
        <w:rPr>
          <w:lang w:val="es-ES"/>
        </w:rPr>
      </w:pPr>
    </w:p>
    <w:p w14:paraId="6DB1970C" w14:textId="2387B3C9" w:rsidR="0075778C" w:rsidRDefault="0075778C" w:rsidP="000F2FAA">
      <w:pPr>
        <w:rPr>
          <w:lang w:val="es-ES"/>
        </w:rPr>
      </w:pPr>
      <w:r>
        <w:rPr>
          <w:lang w:val="es-ES"/>
        </w:rPr>
        <w:t xml:space="preserve">Las </w:t>
      </w:r>
      <w:r w:rsidR="00237C9C">
        <w:rPr>
          <w:lang w:val="es-ES"/>
        </w:rPr>
        <w:t>simulacione</w:t>
      </w:r>
      <w:r>
        <w:rPr>
          <w:lang w:val="es-ES"/>
        </w:rPr>
        <w:t xml:space="preserve">s de CAPCA en comparación con </w:t>
      </w:r>
      <w:r w:rsidR="00237C9C">
        <w:rPr>
          <w:lang w:val="es-ES"/>
        </w:rPr>
        <w:t>la proyección</w:t>
      </w:r>
      <w:r>
        <w:rPr>
          <w:lang w:val="es-ES"/>
        </w:rPr>
        <w:t xml:space="preserve"> de residentes del INE en Copiapó</w:t>
      </w:r>
      <w:r w:rsidR="00237C9C">
        <w:rPr>
          <w:lang w:val="es-ES"/>
        </w:rPr>
        <w:t xml:space="preserve"> son</w:t>
      </w:r>
      <w:r>
        <w:rPr>
          <w:lang w:val="es-ES"/>
        </w:rPr>
        <w:t xml:space="preserve"> bastante similar, como se ve en la figura: </w:t>
      </w:r>
    </w:p>
    <w:p w14:paraId="020518A4" w14:textId="570B4806" w:rsidR="0075778C" w:rsidRDefault="00BD1560" w:rsidP="000F2FAA">
      <w:pPr>
        <w:rPr>
          <w:lang w:val="es-ES"/>
        </w:rPr>
      </w:pPr>
      <w:r>
        <w:rPr>
          <w:noProof/>
          <w:lang w:val="es-ES"/>
        </w:rPr>
        <w:drawing>
          <wp:inline distT="0" distB="0" distL="0" distR="0" wp14:anchorId="66D6E83E" wp14:editId="48BB8672">
            <wp:extent cx="2891790" cy="2879725"/>
            <wp:effectExtent l="12700" t="12700" r="16510"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891790" cy="2879725"/>
                    </a:xfrm>
                    <a:prstGeom prst="rect">
                      <a:avLst/>
                    </a:prstGeom>
                    <a:ln>
                      <a:solidFill>
                        <a:schemeClr val="tx1"/>
                      </a:solidFill>
                    </a:ln>
                  </pic:spPr>
                </pic:pic>
              </a:graphicData>
            </a:graphic>
          </wp:inline>
        </w:drawing>
      </w:r>
    </w:p>
    <w:p w14:paraId="42F235B5" w14:textId="77777777" w:rsidR="0075778C" w:rsidRPr="000F2FAA" w:rsidRDefault="0075778C" w:rsidP="000F2FAA">
      <w:pPr>
        <w:rPr>
          <w:lang w:val="es-ES"/>
        </w:rPr>
      </w:pPr>
    </w:p>
    <w:p w14:paraId="149687AA" w14:textId="6DDF4245" w:rsidR="00145AB1" w:rsidRDefault="00145AB1" w:rsidP="007F7996">
      <w:pPr>
        <w:rPr>
          <w:lang w:val="es-ES"/>
        </w:rPr>
      </w:pPr>
    </w:p>
    <w:p w14:paraId="4DDCC3D8" w14:textId="79914E31" w:rsidR="0032594A" w:rsidRPr="0009738E" w:rsidRDefault="00145AB1" w:rsidP="00CA0813">
      <w:pPr>
        <w:pStyle w:val="Heading2"/>
        <w:rPr>
          <w:lang w:val="es-ES"/>
        </w:rPr>
      </w:pPr>
      <w:r>
        <w:rPr>
          <w:lang w:val="es-ES"/>
        </w:rPr>
        <w:lastRenderedPageBreak/>
        <w:t>Población</w:t>
      </w:r>
      <w:r w:rsidR="0032594A">
        <w:rPr>
          <w:noProof/>
          <w:lang w:val="es-ES"/>
        </w:rPr>
        <w:drawing>
          <wp:anchor distT="0" distB="0" distL="114300" distR="114300" simplePos="0" relativeHeight="251658240" behindDoc="0" locked="0" layoutInCell="1" allowOverlap="1" wp14:anchorId="1FFB3335" wp14:editId="6339DF98">
            <wp:simplePos x="0" y="0"/>
            <wp:positionH relativeFrom="column">
              <wp:posOffset>12519</wp:posOffset>
            </wp:positionH>
            <wp:positionV relativeFrom="paragraph">
              <wp:posOffset>3425825</wp:posOffset>
            </wp:positionV>
            <wp:extent cx="3455670" cy="2879725"/>
            <wp:effectExtent l="12700" t="12700" r="11430" b="1587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1">
                      <a:extLst>
                        <a:ext uri="{28A0092B-C50C-407E-A947-70E740481C1C}">
                          <a14:useLocalDpi xmlns:a14="http://schemas.microsoft.com/office/drawing/2010/main" val="0"/>
                        </a:ext>
                      </a:extLst>
                    </a:blip>
                    <a:stretch>
                      <a:fillRect/>
                    </a:stretch>
                  </pic:blipFill>
                  <pic:spPr>
                    <a:xfrm>
                      <a:off x="0" y="0"/>
                      <a:ext cx="3455670" cy="28797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85A541E" w14:textId="2AEDC490" w:rsidR="0032594A" w:rsidRDefault="0036766C" w:rsidP="00CA0813">
      <w:pPr>
        <w:rPr>
          <w:lang w:val="es-ES"/>
        </w:rPr>
      </w:pPr>
      <w:r>
        <w:rPr>
          <w:noProof/>
          <w:lang w:val="es-ES"/>
        </w:rPr>
        <w:drawing>
          <wp:anchor distT="0" distB="0" distL="114300" distR="114300" simplePos="0" relativeHeight="251657215" behindDoc="0" locked="0" layoutInCell="1" allowOverlap="1" wp14:anchorId="2A1C6E2A" wp14:editId="60BC3DF4">
            <wp:simplePos x="0" y="0"/>
            <wp:positionH relativeFrom="column">
              <wp:posOffset>12700</wp:posOffset>
            </wp:positionH>
            <wp:positionV relativeFrom="paragraph">
              <wp:posOffset>87630</wp:posOffset>
            </wp:positionV>
            <wp:extent cx="3455670" cy="2879725"/>
            <wp:effectExtent l="12700" t="12700" r="11430" b="15875"/>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a:extLst>
                        <a:ext uri="{28A0092B-C50C-407E-A947-70E740481C1C}">
                          <a14:useLocalDpi xmlns:a14="http://schemas.microsoft.com/office/drawing/2010/main" val="0"/>
                        </a:ext>
                      </a:extLst>
                    </a:blip>
                    <a:stretch>
                      <a:fillRect/>
                    </a:stretch>
                  </pic:blipFill>
                  <pic:spPr>
                    <a:xfrm>
                      <a:off x="0" y="0"/>
                      <a:ext cx="3455670" cy="28797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88B347C" w14:textId="77777777" w:rsidR="0032594A" w:rsidRDefault="0032594A" w:rsidP="00CA0813">
      <w:pPr>
        <w:rPr>
          <w:lang w:val="es-ES"/>
        </w:rPr>
      </w:pPr>
    </w:p>
    <w:p w14:paraId="726F7EBE" w14:textId="5C59B540" w:rsidR="00CA0813" w:rsidRPr="00CA0813" w:rsidRDefault="0036766C" w:rsidP="00CA0813">
      <w:pPr>
        <w:rPr>
          <w:lang w:val="es-ES"/>
        </w:rPr>
      </w:pPr>
      <w:r>
        <w:rPr>
          <w:noProof/>
          <w:lang w:val="es-ES"/>
        </w:rPr>
        <w:lastRenderedPageBreak/>
        <w:drawing>
          <wp:inline distT="0" distB="0" distL="0" distR="0" wp14:anchorId="37A63E21" wp14:editId="54FF98AF">
            <wp:extent cx="3456000" cy="2880000"/>
            <wp:effectExtent l="12700" t="12700" r="11430" b="158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3">
                      <a:extLst>
                        <a:ext uri="{28A0092B-C50C-407E-A947-70E740481C1C}">
                          <a14:useLocalDpi xmlns:a14="http://schemas.microsoft.com/office/drawing/2010/main" val="0"/>
                        </a:ext>
                      </a:extLst>
                    </a:blip>
                    <a:stretch>
                      <a:fillRect/>
                    </a:stretch>
                  </pic:blipFill>
                  <pic:spPr>
                    <a:xfrm>
                      <a:off x="0" y="0"/>
                      <a:ext cx="3456000" cy="2880000"/>
                    </a:xfrm>
                    <a:prstGeom prst="rect">
                      <a:avLst/>
                    </a:prstGeom>
                    <a:ln>
                      <a:solidFill>
                        <a:schemeClr val="tx1"/>
                      </a:solidFill>
                    </a:ln>
                  </pic:spPr>
                </pic:pic>
              </a:graphicData>
            </a:graphic>
          </wp:inline>
        </w:drawing>
      </w:r>
    </w:p>
    <w:p w14:paraId="197A6460" w14:textId="07696483" w:rsidR="00145AB1" w:rsidRDefault="00145AB1" w:rsidP="007F7996">
      <w:pPr>
        <w:rPr>
          <w:lang w:val="es-ES"/>
        </w:rPr>
      </w:pPr>
    </w:p>
    <w:p w14:paraId="71419A74" w14:textId="265A6963" w:rsidR="00145AB1" w:rsidRDefault="00145AB1" w:rsidP="007F7996">
      <w:pPr>
        <w:pStyle w:val="Heading2"/>
        <w:rPr>
          <w:lang w:val="es-ES"/>
        </w:rPr>
      </w:pPr>
      <w:r>
        <w:rPr>
          <w:lang w:val="es-ES"/>
        </w:rPr>
        <w:t>RSD</w:t>
      </w:r>
    </w:p>
    <w:p w14:paraId="722B76AD" w14:textId="2BA234DA" w:rsidR="0032594A" w:rsidRDefault="0032594A" w:rsidP="0032594A">
      <w:pPr>
        <w:rPr>
          <w:lang w:val="es-ES"/>
        </w:rPr>
      </w:pPr>
      <w:r>
        <w:rPr>
          <w:noProof/>
          <w:lang w:val="es-ES"/>
        </w:rPr>
        <w:drawing>
          <wp:anchor distT="0" distB="0" distL="114300" distR="114300" simplePos="0" relativeHeight="251656190" behindDoc="0" locked="0" layoutInCell="1" allowOverlap="1" wp14:anchorId="48B79459" wp14:editId="35118019">
            <wp:simplePos x="0" y="0"/>
            <wp:positionH relativeFrom="column">
              <wp:posOffset>12700</wp:posOffset>
            </wp:positionH>
            <wp:positionV relativeFrom="paragraph">
              <wp:posOffset>389255</wp:posOffset>
            </wp:positionV>
            <wp:extent cx="3455670" cy="2879725"/>
            <wp:effectExtent l="12700" t="12700" r="11430" b="1587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4">
                      <a:extLst>
                        <a:ext uri="{28A0092B-C50C-407E-A947-70E740481C1C}">
                          <a14:useLocalDpi xmlns:a14="http://schemas.microsoft.com/office/drawing/2010/main" val="0"/>
                        </a:ext>
                      </a:extLst>
                    </a:blip>
                    <a:stretch>
                      <a:fillRect/>
                    </a:stretch>
                  </pic:blipFill>
                  <pic:spPr>
                    <a:xfrm>
                      <a:off x="0" y="0"/>
                      <a:ext cx="3455670" cy="28797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874C2BD" w14:textId="1159586E" w:rsidR="0032594A" w:rsidRDefault="0032594A" w:rsidP="0032594A">
      <w:pPr>
        <w:rPr>
          <w:lang w:val="es-ES"/>
        </w:rPr>
      </w:pPr>
    </w:p>
    <w:p w14:paraId="025F71C1" w14:textId="77777777" w:rsidR="0032594A" w:rsidRDefault="0032594A" w:rsidP="0032594A">
      <w:pPr>
        <w:rPr>
          <w:lang w:val="es-ES"/>
        </w:rPr>
      </w:pPr>
    </w:p>
    <w:p w14:paraId="7589B93A" w14:textId="7F1A637E" w:rsidR="00145AB1" w:rsidRDefault="0032594A" w:rsidP="007F7996">
      <w:pPr>
        <w:rPr>
          <w:lang w:val="es-ES"/>
        </w:rPr>
      </w:pPr>
      <w:r>
        <w:rPr>
          <w:noProof/>
          <w:lang w:val="es-ES"/>
        </w:rPr>
        <w:lastRenderedPageBreak/>
        <w:drawing>
          <wp:anchor distT="0" distB="0" distL="114300" distR="114300" simplePos="0" relativeHeight="251660288" behindDoc="0" locked="0" layoutInCell="1" allowOverlap="1" wp14:anchorId="15988377" wp14:editId="66D5D70D">
            <wp:simplePos x="0" y="0"/>
            <wp:positionH relativeFrom="column">
              <wp:posOffset>-635</wp:posOffset>
            </wp:positionH>
            <wp:positionV relativeFrom="paragraph">
              <wp:posOffset>3046095</wp:posOffset>
            </wp:positionV>
            <wp:extent cx="3455670" cy="2879725"/>
            <wp:effectExtent l="12700" t="12700" r="11430" b="15875"/>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5">
                      <a:extLst>
                        <a:ext uri="{28A0092B-C50C-407E-A947-70E740481C1C}">
                          <a14:useLocalDpi xmlns:a14="http://schemas.microsoft.com/office/drawing/2010/main" val="0"/>
                        </a:ext>
                      </a:extLst>
                    </a:blip>
                    <a:stretch>
                      <a:fillRect/>
                    </a:stretch>
                  </pic:blipFill>
                  <pic:spPr>
                    <a:xfrm>
                      <a:off x="0" y="0"/>
                      <a:ext cx="3455670" cy="28797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5165" behindDoc="0" locked="0" layoutInCell="1" allowOverlap="1" wp14:anchorId="658AF1B8" wp14:editId="1011D373">
            <wp:simplePos x="0" y="0"/>
            <wp:positionH relativeFrom="column">
              <wp:posOffset>12700</wp:posOffset>
            </wp:positionH>
            <wp:positionV relativeFrom="paragraph">
              <wp:posOffset>12700</wp:posOffset>
            </wp:positionV>
            <wp:extent cx="3456000" cy="2880000"/>
            <wp:effectExtent l="12700" t="12700" r="11430" b="15875"/>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6">
                      <a:extLst>
                        <a:ext uri="{28A0092B-C50C-407E-A947-70E740481C1C}">
                          <a14:useLocalDpi xmlns:a14="http://schemas.microsoft.com/office/drawing/2010/main" val="0"/>
                        </a:ext>
                      </a:extLst>
                    </a:blip>
                    <a:stretch>
                      <a:fillRect/>
                    </a:stretch>
                  </pic:blipFill>
                  <pic:spPr>
                    <a:xfrm>
                      <a:off x="0" y="0"/>
                      <a:ext cx="3456000" cy="2880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7A28101" w14:textId="3267C592" w:rsidR="00145AB1" w:rsidRDefault="00145AB1" w:rsidP="007F7996">
      <w:pPr>
        <w:pStyle w:val="Heading2"/>
        <w:rPr>
          <w:lang w:val="es-ES"/>
        </w:rPr>
      </w:pPr>
      <w:r>
        <w:rPr>
          <w:lang w:val="es-ES"/>
        </w:rPr>
        <w:lastRenderedPageBreak/>
        <w:t>Educación</w:t>
      </w:r>
    </w:p>
    <w:p w14:paraId="521341FD" w14:textId="6560D114" w:rsidR="0032594A" w:rsidRPr="0032594A" w:rsidRDefault="0032594A" w:rsidP="0032594A">
      <w:pPr>
        <w:rPr>
          <w:lang w:val="es-ES"/>
        </w:rPr>
      </w:pPr>
      <w:r>
        <w:rPr>
          <w:noProof/>
          <w:lang w:val="es-ES"/>
        </w:rPr>
        <w:drawing>
          <wp:inline distT="0" distB="0" distL="0" distR="0" wp14:anchorId="4E41EB1E" wp14:editId="33DCB624">
            <wp:extent cx="3455670" cy="2879725"/>
            <wp:effectExtent l="12700" t="12700" r="11430" b="1587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7">
                      <a:extLst>
                        <a:ext uri="{28A0092B-C50C-407E-A947-70E740481C1C}">
                          <a14:useLocalDpi xmlns:a14="http://schemas.microsoft.com/office/drawing/2010/main" val="0"/>
                        </a:ext>
                      </a:extLst>
                    </a:blip>
                    <a:stretch>
                      <a:fillRect/>
                    </a:stretch>
                  </pic:blipFill>
                  <pic:spPr>
                    <a:xfrm>
                      <a:off x="0" y="0"/>
                      <a:ext cx="3455670" cy="2879725"/>
                    </a:xfrm>
                    <a:prstGeom prst="rect">
                      <a:avLst/>
                    </a:prstGeom>
                    <a:ln>
                      <a:solidFill>
                        <a:schemeClr val="tx1"/>
                      </a:solidFill>
                    </a:ln>
                  </pic:spPr>
                </pic:pic>
              </a:graphicData>
            </a:graphic>
          </wp:inline>
        </w:drawing>
      </w:r>
    </w:p>
    <w:p w14:paraId="72D9F8D4" w14:textId="2431C6C2" w:rsidR="00145AB1" w:rsidRDefault="0009738E" w:rsidP="007F7996">
      <w:pPr>
        <w:rPr>
          <w:lang w:val="es-ES"/>
        </w:rPr>
      </w:pPr>
      <w:r>
        <w:rPr>
          <w:noProof/>
          <w:lang w:val="es-ES"/>
        </w:rPr>
        <w:drawing>
          <wp:inline distT="0" distB="0" distL="0" distR="0" wp14:anchorId="3A6B2578" wp14:editId="1932061E">
            <wp:extent cx="3455670" cy="2879725"/>
            <wp:effectExtent l="12700" t="12700" r="11430" b="158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8">
                      <a:extLst>
                        <a:ext uri="{28A0092B-C50C-407E-A947-70E740481C1C}">
                          <a14:useLocalDpi xmlns:a14="http://schemas.microsoft.com/office/drawing/2010/main" val="0"/>
                        </a:ext>
                      </a:extLst>
                    </a:blip>
                    <a:stretch>
                      <a:fillRect/>
                    </a:stretch>
                  </pic:blipFill>
                  <pic:spPr>
                    <a:xfrm>
                      <a:off x="0" y="0"/>
                      <a:ext cx="3455670" cy="2879725"/>
                    </a:xfrm>
                    <a:prstGeom prst="rect">
                      <a:avLst/>
                    </a:prstGeom>
                    <a:ln>
                      <a:solidFill>
                        <a:schemeClr val="tx1"/>
                      </a:solidFill>
                    </a:ln>
                  </pic:spPr>
                </pic:pic>
              </a:graphicData>
            </a:graphic>
          </wp:inline>
        </w:drawing>
      </w:r>
    </w:p>
    <w:p w14:paraId="24A2B467" w14:textId="42303BF2" w:rsidR="0009738E" w:rsidRDefault="0009738E" w:rsidP="007F7996">
      <w:pPr>
        <w:rPr>
          <w:lang w:val="es-ES"/>
        </w:rPr>
      </w:pPr>
      <w:r>
        <w:rPr>
          <w:noProof/>
          <w:lang w:val="es-ES"/>
        </w:rPr>
        <w:lastRenderedPageBreak/>
        <w:drawing>
          <wp:inline distT="0" distB="0" distL="0" distR="0" wp14:anchorId="552176CC" wp14:editId="2F72496D">
            <wp:extent cx="3455670" cy="2879725"/>
            <wp:effectExtent l="12700" t="12700" r="11430" b="158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9">
                      <a:extLst>
                        <a:ext uri="{28A0092B-C50C-407E-A947-70E740481C1C}">
                          <a14:useLocalDpi xmlns:a14="http://schemas.microsoft.com/office/drawing/2010/main" val="0"/>
                        </a:ext>
                      </a:extLst>
                    </a:blip>
                    <a:stretch>
                      <a:fillRect/>
                    </a:stretch>
                  </pic:blipFill>
                  <pic:spPr>
                    <a:xfrm>
                      <a:off x="0" y="0"/>
                      <a:ext cx="3455670" cy="2879725"/>
                    </a:xfrm>
                    <a:prstGeom prst="rect">
                      <a:avLst/>
                    </a:prstGeom>
                    <a:ln>
                      <a:solidFill>
                        <a:schemeClr val="tx1"/>
                      </a:solidFill>
                    </a:ln>
                  </pic:spPr>
                </pic:pic>
              </a:graphicData>
            </a:graphic>
          </wp:inline>
        </w:drawing>
      </w:r>
    </w:p>
    <w:p w14:paraId="4F7893B9" w14:textId="7B6F1C94" w:rsidR="0009738E" w:rsidRDefault="0009738E" w:rsidP="007F7996">
      <w:pPr>
        <w:rPr>
          <w:lang w:val="es-ES"/>
        </w:rPr>
      </w:pPr>
      <w:r>
        <w:rPr>
          <w:noProof/>
          <w:lang w:val="es-ES"/>
        </w:rPr>
        <w:drawing>
          <wp:inline distT="0" distB="0" distL="0" distR="0" wp14:anchorId="70A84DFA" wp14:editId="5FE20EE9">
            <wp:extent cx="3455670" cy="2879725"/>
            <wp:effectExtent l="12700" t="12700" r="11430" b="158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0">
                      <a:extLst>
                        <a:ext uri="{28A0092B-C50C-407E-A947-70E740481C1C}">
                          <a14:useLocalDpi xmlns:a14="http://schemas.microsoft.com/office/drawing/2010/main" val="0"/>
                        </a:ext>
                      </a:extLst>
                    </a:blip>
                    <a:stretch>
                      <a:fillRect/>
                    </a:stretch>
                  </pic:blipFill>
                  <pic:spPr>
                    <a:xfrm>
                      <a:off x="0" y="0"/>
                      <a:ext cx="3455670" cy="2879725"/>
                    </a:xfrm>
                    <a:prstGeom prst="rect">
                      <a:avLst/>
                    </a:prstGeom>
                    <a:ln>
                      <a:solidFill>
                        <a:schemeClr val="tx1"/>
                      </a:solidFill>
                    </a:ln>
                  </pic:spPr>
                </pic:pic>
              </a:graphicData>
            </a:graphic>
          </wp:inline>
        </w:drawing>
      </w:r>
    </w:p>
    <w:p w14:paraId="4062640F" w14:textId="405FFBD4" w:rsidR="00145AB1" w:rsidRDefault="00145AB1" w:rsidP="007F7996">
      <w:pPr>
        <w:pStyle w:val="Heading2"/>
        <w:rPr>
          <w:lang w:val="es-ES"/>
        </w:rPr>
      </w:pPr>
      <w:r>
        <w:rPr>
          <w:lang w:val="es-ES"/>
        </w:rPr>
        <w:lastRenderedPageBreak/>
        <w:t>Turistas formales</w:t>
      </w:r>
    </w:p>
    <w:p w14:paraId="3D4CBF3E" w14:textId="7E62F6CE" w:rsidR="00145AB1" w:rsidRDefault="0009738E" w:rsidP="007F7996">
      <w:pPr>
        <w:rPr>
          <w:lang w:val="es-ES"/>
        </w:rPr>
      </w:pPr>
      <w:r>
        <w:rPr>
          <w:noProof/>
          <w:lang w:val="es-ES"/>
        </w:rPr>
        <w:drawing>
          <wp:inline distT="0" distB="0" distL="0" distR="0" wp14:anchorId="35A327D6" wp14:editId="640ED8BD">
            <wp:extent cx="3455670" cy="2879725"/>
            <wp:effectExtent l="12700" t="12700" r="11430" b="158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1">
                      <a:extLst>
                        <a:ext uri="{28A0092B-C50C-407E-A947-70E740481C1C}">
                          <a14:useLocalDpi xmlns:a14="http://schemas.microsoft.com/office/drawing/2010/main" val="0"/>
                        </a:ext>
                      </a:extLst>
                    </a:blip>
                    <a:stretch>
                      <a:fillRect/>
                    </a:stretch>
                  </pic:blipFill>
                  <pic:spPr>
                    <a:xfrm>
                      <a:off x="0" y="0"/>
                      <a:ext cx="3455670" cy="2879725"/>
                    </a:xfrm>
                    <a:prstGeom prst="rect">
                      <a:avLst/>
                    </a:prstGeom>
                    <a:ln>
                      <a:solidFill>
                        <a:schemeClr val="tx1"/>
                      </a:solidFill>
                    </a:ln>
                  </pic:spPr>
                </pic:pic>
              </a:graphicData>
            </a:graphic>
          </wp:inline>
        </w:drawing>
      </w:r>
    </w:p>
    <w:p w14:paraId="08DF3426" w14:textId="338AFD43" w:rsidR="00145AB1" w:rsidRPr="00145AB1" w:rsidRDefault="00145AB1" w:rsidP="007F7996">
      <w:pPr>
        <w:pStyle w:val="Heading2"/>
        <w:rPr>
          <w:lang w:val="es-ES"/>
        </w:rPr>
      </w:pPr>
      <w:r>
        <w:rPr>
          <w:lang w:val="es-ES"/>
        </w:rPr>
        <w:t>Motorización</w:t>
      </w:r>
    </w:p>
    <w:p w14:paraId="03DFC365" w14:textId="6DCE1F02" w:rsidR="00145AB1" w:rsidRDefault="0009738E" w:rsidP="00145AB1">
      <w:pPr>
        <w:rPr>
          <w:lang w:val="es-ES"/>
        </w:rPr>
      </w:pPr>
      <w:r>
        <w:rPr>
          <w:noProof/>
          <w:lang w:val="es-ES"/>
        </w:rPr>
        <w:drawing>
          <wp:inline distT="0" distB="0" distL="0" distR="0" wp14:anchorId="44D61BFD" wp14:editId="5B817D0A">
            <wp:extent cx="3455670" cy="2879725"/>
            <wp:effectExtent l="12700" t="12700" r="11430" b="158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2">
                      <a:extLst>
                        <a:ext uri="{28A0092B-C50C-407E-A947-70E740481C1C}">
                          <a14:useLocalDpi xmlns:a14="http://schemas.microsoft.com/office/drawing/2010/main" val="0"/>
                        </a:ext>
                      </a:extLst>
                    </a:blip>
                    <a:stretch>
                      <a:fillRect/>
                    </a:stretch>
                  </pic:blipFill>
                  <pic:spPr>
                    <a:xfrm>
                      <a:off x="0" y="0"/>
                      <a:ext cx="3455670" cy="2879725"/>
                    </a:xfrm>
                    <a:prstGeom prst="rect">
                      <a:avLst/>
                    </a:prstGeom>
                    <a:ln>
                      <a:solidFill>
                        <a:schemeClr val="tx1"/>
                      </a:solidFill>
                    </a:ln>
                  </pic:spPr>
                </pic:pic>
              </a:graphicData>
            </a:graphic>
          </wp:inline>
        </w:drawing>
      </w:r>
    </w:p>
    <w:p w14:paraId="178875A2" w14:textId="08936A2B" w:rsidR="0009738E" w:rsidRDefault="0009738E" w:rsidP="00145AB1">
      <w:pPr>
        <w:rPr>
          <w:lang w:val="es-ES"/>
        </w:rPr>
      </w:pPr>
      <w:r>
        <w:rPr>
          <w:noProof/>
          <w:lang w:val="es-ES"/>
        </w:rPr>
        <w:lastRenderedPageBreak/>
        <w:drawing>
          <wp:inline distT="0" distB="0" distL="0" distR="0" wp14:anchorId="7857151D" wp14:editId="48B86883">
            <wp:extent cx="3455670" cy="2879725"/>
            <wp:effectExtent l="12700" t="12700" r="11430" b="158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3">
                      <a:extLst>
                        <a:ext uri="{28A0092B-C50C-407E-A947-70E740481C1C}">
                          <a14:useLocalDpi xmlns:a14="http://schemas.microsoft.com/office/drawing/2010/main" val="0"/>
                        </a:ext>
                      </a:extLst>
                    </a:blip>
                    <a:stretch>
                      <a:fillRect/>
                    </a:stretch>
                  </pic:blipFill>
                  <pic:spPr>
                    <a:xfrm>
                      <a:off x="0" y="0"/>
                      <a:ext cx="3455670" cy="2879725"/>
                    </a:xfrm>
                    <a:prstGeom prst="rect">
                      <a:avLst/>
                    </a:prstGeom>
                    <a:ln>
                      <a:solidFill>
                        <a:schemeClr val="tx1"/>
                      </a:solidFill>
                    </a:ln>
                  </pic:spPr>
                </pic:pic>
              </a:graphicData>
            </a:graphic>
          </wp:inline>
        </w:drawing>
      </w:r>
    </w:p>
    <w:p w14:paraId="1A5CA633" w14:textId="654C90A0" w:rsidR="0009738E" w:rsidRDefault="0009738E" w:rsidP="00145AB1">
      <w:pPr>
        <w:rPr>
          <w:lang w:val="es-ES"/>
        </w:rPr>
      </w:pPr>
      <w:r>
        <w:rPr>
          <w:noProof/>
          <w:lang w:val="es-ES"/>
        </w:rPr>
        <w:drawing>
          <wp:inline distT="0" distB="0" distL="0" distR="0" wp14:anchorId="45552A1C" wp14:editId="1EA67A29">
            <wp:extent cx="3455670" cy="2879725"/>
            <wp:effectExtent l="12700" t="12700" r="11430" b="158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4">
                      <a:extLst>
                        <a:ext uri="{28A0092B-C50C-407E-A947-70E740481C1C}">
                          <a14:useLocalDpi xmlns:a14="http://schemas.microsoft.com/office/drawing/2010/main" val="0"/>
                        </a:ext>
                      </a:extLst>
                    </a:blip>
                    <a:stretch>
                      <a:fillRect/>
                    </a:stretch>
                  </pic:blipFill>
                  <pic:spPr>
                    <a:xfrm>
                      <a:off x="0" y="0"/>
                      <a:ext cx="3455670" cy="2879725"/>
                    </a:xfrm>
                    <a:prstGeom prst="rect">
                      <a:avLst/>
                    </a:prstGeom>
                    <a:ln>
                      <a:solidFill>
                        <a:schemeClr val="tx1"/>
                      </a:solidFill>
                    </a:ln>
                  </pic:spPr>
                </pic:pic>
              </a:graphicData>
            </a:graphic>
          </wp:inline>
        </w:drawing>
      </w:r>
    </w:p>
    <w:p w14:paraId="4DE37B97" w14:textId="77777777" w:rsidR="00145AB1" w:rsidRPr="00145AB1" w:rsidRDefault="00145AB1" w:rsidP="00145AB1">
      <w:pPr>
        <w:rPr>
          <w:lang w:val="es-ES"/>
        </w:rPr>
      </w:pPr>
    </w:p>
    <w:sectPr w:rsidR="00145AB1" w:rsidRPr="00145AB1" w:rsidSect="00B8569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AE8A7" w14:textId="77777777" w:rsidR="00E52C1E" w:rsidRDefault="00E52C1E" w:rsidP="00E52C1E">
      <w:pPr>
        <w:spacing w:before="0" w:after="0"/>
      </w:pPr>
      <w:r>
        <w:separator/>
      </w:r>
    </w:p>
  </w:endnote>
  <w:endnote w:type="continuationSeparator" w:id="0">
    <w:p w14:paraId="3DCAA54C" w14:textId="77777777" w:rsidR="00E52C1E" w:rsidRDefault="00E52C1E" w:rsidP="00E52C1E">
      <w:pPr>
        <w:spacing w:before="0" w:after="0"/>
      </w:pPr>
      <w:r>
        <w:continuationSeparator/>
      </w:r>
    </w:p>
  </w:endnote>
  <w:endnote w:id="1">
    <w:p w14:paraId="0064A65C" w14:textId="03A93DF9" w:rsidR="00E52C1E" w:rsidRPr="00E52C1E" w:rsidRDefault="00E52C1E">
      <w:pPr>
        <w:pStyle w:val="EndnoteText"/>
        <w:rPr>
          <w:lang w:val="es-ES"/>
        </w:rPr>
      </w:pPr>
      <w:r>
        <w:rPr>
          <w:rStyle w:val="EndnoteReference"/>
        </w:rPr>
        <w:endnoteRef/>
      </w:r>
      <w:r>
        <w:t xml:space="preserve"> </w:t>
      </w:r>
      <w:r w:rsidRPr="00DB2050">
        <w:rPr>
          <w:lang w:val="es-ES"/>
        </w:rPr>
        <w:t>La del a</w:t>
      </w:r>
      <w:r w:rsidRPr="00DB2050">
        <w:rPr>
          <w:rFonts w:hint="eastAsia"/>
          <w:lang w:val="es-ES"/>
        </w:rPr>
        <w:t>ñ</w:t>
      </w:r>
      <w:r w:rsidRPr="00DB2050">
        <w:rPr>
          <w:lang w:val="es-ES"/>
        </w:rPr>
        <w:t>o 2011 se elimin</w:t>
      </w:r>
      <w:r w:rsidRPr="00DB2050">
        <w:rPr>
          <w:rFonts w:hint="eastAsia"/>
          <w:lang w:val="es-ES"/>
        </w:rPr>
        <w:t>ó</w:t>
      </w:r>
      <w:r w:rsidRPr="00DB2050">
        <w:rPr>
          <w:lang w:val="es-ES"/>
        </w:rPr>
        <w:t xml:space="preserve"> de la muestra, debido a errores de muestreo</w:t>
      </w:r>
      <w:r>
        <w:rPr>
          <w:lang w:val="es-E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LMRoman10">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F6C99" w14:textId="77777777" w:rsidR="00E52C1E" w:rsidRDefault="00E52C1E" w:rsidP="00E52C1E">
      <w:pPr>
        <w:spacing w:before="0" w:after="0"/>
      </w:pPr>
      <w:r>
        <w:separator/>
      </w:r>
    </w:p>
  </w:footnote>
  <w:footnote w:type="continuationSeparator" w:id="0">
    <w:p w14:paraId="408F45DF" w14:textId="77777777" w:rsidR="00E52C1E" w:rsidRDefault="00E52C1E" w:rsidP="00E52C1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FAE"/>
    <w:multiLevelType w:val="hybridMultilevel"/>
    <w:tmpl w:val="B6D6B6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741EC"/>
    <w:multiLevelType w:val="multilevel"/>
    <w:tmpl w:val="FBE8A23A"/>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58D165F"/>
    <w:multiLevelType w:val="hybridMultilevel"/>
    <w:tmpl w:val="BF7808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540E7"/>
    <w:multiLevelType w:val="hybridMultilevel"/>
    <w:tmpl w:val="2298A72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74E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D1"/>
    <w:rsid w:val="00084E39"/>
    <w:rsid w:val="00095F36"/>
    <w:rsid w:val="0009738E"/>
    <w:rsid w:val="000F2FAA"/>
    <w:rsid w:val="00145AB1"/>
    <w:rsid w:val="00202002"/>
    <w:rsid w:val="00204DCD"/>
    <w:rsid w:val="00237C9C"/>
    <w:rsid w:val="00323A6D"/>
    <w:rsid w:val="0032594A"/>
    <w:rsid w:val="0036766C"/>
    <w:rsid w:val="0039791D"/>
    <w:rsid w:val="003D2D09"/>
    <w:rsid w:val="003F24D1"/>
    <w:rsid w:val="004350D6"/>
    <w:rsid w:val="00481685"/>
    <w:rsid w:val="004C591B"/>
    <w:rsid w:val="00505D3B"/>
    <w:rsid w:val="00564CFF"/>
    <w:rsid w:val="005663F6"/>
    <w:rsid w:val="0058001F"/>
    <w:rsid w:val="005E2827"/>
    <w:rsid w:val="00687DA7"/>
    <w:rsid w:val="0075778C"/>
    <w:rsid w:val="00782523"/>
    <w:rsid w:val="0079078F"/>
    <w:rsid w:val="007F7996"/>
    <w:rsid w:val="00820204"/>
    <w:rsid w:val="00826C22"/>
    <w:rsid w:val="00886769"/>
    <w:rsid w:val="008B543A"/>
    <w:rsid w:val="00937B4B"/>
    <w:rsid w:val="009863A2"/>
    <w:rsid w:val="00A35C0F"/>
    <w:rsid w:val="00AF0CF3"/>
    <w:rsid w:val="00B170F8"/>
    <w:rsid w:val="00B85695"/>
    <w:rsid w:val="00BB0903"/>
    <w:rsid w:val="00BB211D"/>
    <w:rsid w:val="00BD1560"/>
    <w:rsid w:val="00BF5BDB"/>
    <w:rsid w:val="00C0222E"/>
    <w:rsid w:val="00C15EBE"/>
    <w:rsid w:val="00C312CE"/>
    <w:rsid w:val="00C41C21"/>
    <w:rsid w:val="00C77EA4"/>
    <w:rsid w:val="00C85020"/>
    <w:rsid w:val="00CA0813"/>
    <w:rsid w:val="00D03586"/>
    <w:rsid w:val="00D335F4"/>
    <w:rsid w:val="00DB2050"/>
    <w:rsid w:val="00DE2437"/>
    <w:rsid w:val="00E32A86"/>
    <w:rsid w:val="00E37125"/>
    <w:rsid w:val="00E52C1E"/>
    <w:rsid w:val="00ED204A"/>
    <w:rsid w:val="00F07C8B"/>
    <w:rsid w:val="00F36D02"/>
    <w:rsid w:val="00FB1638"/>
    <w:rsid w:val="00FF6161"/>
  </w:rsids>
  <m:mathPr>
    <m:mathFont m:val="Cambria Math"/>
    <m:brkBin m:val="before"/>
    <m:brkBinSub m:val="--"/>
    <m:smallFrac m:val="0"/>
    <m:dispDef/>
    <m:lMargin m:val="0"/>
    <m:rMargin m:val="0"/>
    <m:defJc m:val="centerGroup"/>
    <m:wrapIndent m:val="1440"/>
    <m:intLim m:val="subSup"/>
    <m:naryLim m:val="undOvr"/>
  </m:mathPr>
  <w:themeFontLang w:val="en-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A209"/>
  <w15:chartTrackingRefBased/>
  <w15:docId w15:val="{7096E157-017E-DB47-B27D-245F3FAA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586"/>
    <w:pPr>
      <w:spacing w:before="120" w:after="120"/>
      <w:jc w:val="both"/>
    </w:pPr>
    <w:rPr>
      <w:rFonts w:ascii="LMRoman10" w:hAnsi="LMRoman10"/>
      <w:sz w:val="20"/>
    </w:rPr>
  </w:style>
  <w:style w:type="paragraph" w:styleId="Heading1">
    <w:name w:val="heading 1"/>
    <w:basedOn w:val="Normal"/>
    <w:next w:val="Normal"/>
    <w:link w:val="Heading1Char"/>
    <w:uiPriority w:val="9"/>
    <w:qFormat/>
    <w:rsid w:val="00FF6161"/>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5AB1"/>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03586"/>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7F7996"/>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F7996"/>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7996"/>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7996"/>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799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799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11">
    <w:name w:val="HeadingA11"/>
    <w:basedOn w:val="Heading3"/>
    <w:next w:val="Normal"/>
    <w:autoRedefine/>
    <w:qFormat/>
    <w:rsid w:val="00D03586"/>
    <w:pPr>
      <w:spacing w:after="120"/>
    </w:pPr>
    <w:rPr>
      <w:b/>
      <w:i/>
      <w:lang w:val="es-ES"/>
    </w:rPr>
  </w:style>
  <w:style w:type="character" w:customStyle="1" w:styleId="Heading3Char">
    <w:name w:val="Heading 3 Char"/>
    <w:basedOn w:val="DefaultParagraphFont"/>
    <w:link w:val="Heading3"/>
    <w:uiPriority w:val="9"/>
    <w:semiHidden/>
    <w:rsid w:val="00D03586"/>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481685"/>
    <w:pPr>
      <w:ind w:left="720"/>
      <w:contextualSpacing/>
    </w:pPr>
  </w:style>
  <w:style w:type="character" w:customStyle="1" w:styleId="apple-converted-space">
    <w:name w:val="apple-converted-space"/>
    <w:basedOn w:val="DefaultParagraphFont"/>
    <w:rsid w:val="00095F36"/>
  </w:style>
  <w:style w:type="paragraph" w:styleId="Title">
    <w:name w:val="Title"/>
    <w:basedOn w:val="Normal"/>
    <w:next w:val="Normal"/>
    <w:link w:val="TitleChar"/>
    <w:uiPriority w:val="10"/>
    <w:qFormat/>
    <w:rsid w:val="00BF5BDB"/>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BD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F616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45AB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7F7996"/>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7F7996"/>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7F7996"/>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7F7996"/>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7F79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7996"/>
    <w:rPr>
      <w:rFonts w:asciiTheme="majorHAnsi" w:eastAsiaTheme="majorEastAsia" w:hAnsiTheme="majorHAnsi" w:cstheme="majorBidi"/>
      <w:i/>
      <w:iCs/>
      <w:color w:val="272727" w:themeColor="text1" w:themeTint="D8"/>
      <w:sz w:val="21"/>
      <w:szCs w:val="21"/>
    </w:rPr>
  </w:style>
  <w:style w:type="paragraph" w:styleId="EndnoteText">
    <w:name w:val="endnote text"/>
    <w:basedOn w:val="Normal"/>
    <w:link w:val="EndnoteTextChar"/>
    <w:uiPriority w:val="99"/>
    <w:semiHidden/>
    <w:unhideWhenUsed/>
    <w:rsid w:val="00E52C1E"/>
    <w:pPr>
      <w:spacing w:before="0" w:after="0"/>
    </w:pPr>
    <w:rPr>
      <w:szCs w:val="20"/>
    </w:rPr>
  </w:style>
  <w:style w:type="character" w:customStyle="1" w:styleId="EndnoteTextChar">
    <w:name w:val="Endnote Text Char"/>
    <w:basedOn w:val="DefaultParagraphFont"/>
    <w:link w:val="EndnoteText"/>
    <w:uiPriority w:val="99"/>
    <w:semiHidden/>
    <w:rsid w:val="00E52C1E"/>
    <w:rPr>
      <w:rFonts w:ascii="LMRoman10" w:hAnsi="LMRoman10"/>
      <w:sz w:val="20"/>
      <w:szCs w:val="20"/>
    </w:rPr>
  </w:style>
  <w:style w:type="character" w:styleId="EndnoteReference">
    <w:name w:val="endnote reference"/>
    <w:basedOn w:val="DefaultParagraphFont"/>
    <w:uiPriority w:val="99"/>
    <w:semiHidden/>
    <w:unhideWhenUsed/>
    <w:rsid w:val="00E52C1E"/>
    <w:rPr>
      <w:vertAlign w:val="superscript"/>
    </w:rPr>
  </w:style>
  <w:style w:type="character" w:styleId="Hyperlink">
    <w:name w:val="Hyperlink"/>
    <w:basedOn w:val="DefaultParagraphFont"/>
    <w:uiPriority w:val="99"/>
    <w:unhideWhenUsed/>
    <w:rsid w:val="00505D3B"/>
    <w:rPr>
      <w:color w:val="0563C1" w:themeColor="hyperlink"/>
      <w:u w:val="single"/>
    </w:rPr>
  </w:style>
  <w:style w:type="character" w:styleId="UnresolvedMention">
    <w:name w:val="Unresolved Mention"/>
    <w:basedOn w:val="DefaultParagraphFont"/>
    <w:uiPriority w:val="99"/>
    <w:semiHidden/>
    <w:unhideWhenUsed/>
    <w:rsid w:val="00505D3B"/>
    <w:rPr>
      <w:color w:val="605E5C"/>
      <w:shd w:val="clear" w:color="auto" w:fill="E1DFDD"/>
    </w:rPr>
  </w:style>
  <w:style w:type="paragraph" w:styleId="NormalWeb">
    <w:name w:val="Normal (Web)"/>
    <w:basedOn w:val="Normal"/>
    <w:uiPriority w:val="99"/>
    <w:semiHidden/>
    <w:unhideWhenUsed/>
    <w:rsid w:val="00782523"/>
    <w:pPr>
      <w:spacing w:before="100" w:beforeAutospacing="1" w:after="100" w:afterAutospacing="1"/>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0331">
      <w:bodyDiv w:val="1"/>
      <w:marLeft w:val="0"/>
      <w:marRight w:val="0"/>
      <w:marTop w:val="0"/>
      <w:marBottom w:val="0"/>
      <w:divBdr>
        <w:top w:val="none" w:sz="0" w:space="0" w:color="auto"/>
        <w:left w:val="none" w:sz="0" w:space="0" w:color="auto"/>
        <w:bottom w:val="none" w:sz="0" w:space="0" w:color="auto"/>
        <w:right w:val="none" w:sz="0" w:space="0" w:color="auto"/>
      </w:divBdr>
    </w:div>
    <w:div w:id="184448403">
      <w:bodyDiv w:val="1"/>
      <w:marLeft w:val="0"/>
      <w:marRight w:val="0"/>
      <w:marTop w:val="0"/>
      <w:marBottom w:val="0"/>
      <w:divBdr>
        <w:top w:val="none" w:sz="0" w:space="0" w:color="auto"/>
        <w:left w:val="none" w:sz="0" w:space="0" w:color="auto"/>
        <w:bottom w:val="none" w:sz="0" w:space="0" w:color="auto"/>
        <w:right w:val="none" w:sz="0" w:space="0" w:color="auto"/>
      </w:divBdr>
    </w:div>
    <w:div w:id="261575323">
      <w:bodyDiv w:val="1"/>
      <w:marLeft w:val="0"/>
      <w:marRight w:val="0"/>
      <w:marTop w:val="0"/>
      <w:marBottom w:val="0"/>
      <w:divBdr>
        <w:top w:val="none" w:sz="0" w:space="0" w:color="auto"/>
        <w:left w:val="none" w:sz="0" w:space="0" w:color="auto"/>
        <w:bottom w:val="none" w:sz="0" w:space="0" w:color="auto"/>
        <w:right w:val="none" w:sz="0" w:space="0" w:color="auto"/>
      </w:divBdr>
      <w:divsChild>
        <w:div w:id="1414280530">
          <w:marLeft w:val="0"/>
          <w:marRight w:val="0"/>
          <w:marTop w:val="0"/>
          <w:marBottom w:val="0"/>
          <w:divBdr>
            <w:top w:val="none" w:sz="0" w:space="0" w:color="auto"/>
            <w:left w:val="none" w:sz="0" w:space="0" w:color="auto"/>
            <w:bottom w:val="none" w:sz="0" w:space="0" w:color="auto"/>
            <w:right w:val="none" w:sz="0" w:space="0" w:color="auto"/>
          </w:divBdr>
          <w:divsChild>
            <w:div w:id="863714497">
              <w:marLeft w:val="0"/>
              <w:marRight w:val="0"/>
              <w:marTop w:val="0"/>
              <w:marBottom w:val="0"/>
              <w:divBdr>
                <w:top w:val="none" w:sz="0" w:space="0" w:color="auto"/>
                <w:left w:val="none" w:sz="0" w:space="0" w:color="auto"/>
                <w:bottom w:val="none" w:sz="0" w:space="0" w:color="auto"/>
                <w:right w:val="none" w:sz="0" w:space="0" w:color="auto"/>
              </w:divBdr>
              <w:divsChild>
                <w:div w:id="10989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0212">
      <w:bodyDiv w:val="1"/>
      <w:marLeft w:val="0"/>
      <w:marRight w:val="0"/>
      <w:marTop w:val="0"/>
      <w:marBottom w:val="0"/>
      <w:divBdr>
        <w:top w:val="none" w:sz="0" w:space="0" w:color="auto"/>
        <w:left w:val="none" w:sz="0" w:space="0" w:color="auto"/>
        <w:bottom w:val="none" w:sz="0" w:space="0" w:color="auto"/>
        <w:right w:val="none" w:sz="0" w:space="0" w:color="auto"/>
      </w:divBdr>
    </w:div>
    <w:div w:id="433138893">
      <w:bodyDiv w:val="1"/>
      <w:marLeft w:val="0"/>
      <w:marRight w:val="0"/>
      <w:marTop w:val="0"/>
      <w:marBottom w:val="0"/>
      <w:divBdr>
        <w:top w:val="none" w:sz="0" w:space="0" w:color="auto"/>
        <w:left w:val="none" w:sz="0" w:space="0" w:color="auto"/>
        <w:bottom w:val="none" w:sz="0" w:space="0" w:color="auto"/>
        <w:right w:val="none" w:sz="0" w:space="0" w:color="auto"/>
      </w:divBdr>
    </w:div>
    <w:div w:id="522403134">
      <w:bodyDiv w:val="1"/>
      <w:marLeft w:val="0"/>
      <w:marRight w:val="0"/>
      <w:marTop w:val="0"/>
      <w:marBottom w:val="0"/>
      <w:divBdr>
        <w:top w:val="none" w:sz="0" w:space="0" w:color="auto"/>
        <w:left w:val="none" w:sz="0" w:space="0" w:color="auto"/>
        <w:bottom w:val="none" w:sz="0" w:space="0" w:color="auto"/>
        <w:right w:val="none" w:sz="0" w:space="0" w:color="auto"/>
      </w:divBdr>
    </w:div>
    <w:div w:id="557202891">
      <w:bodyDiv w:val="1"/>
      <w:marLeft w:val="0"/>
      <w:marRight w:val="0"/>
      <w:marTop w:val="0"/>
      <w:marBottom w:val="0"/>
      <w:divBdr>
        <w:top w:val="none" w:sz="0" w:space="0" w:color="auto"/>
        <w:left w:val="none" w:sz="0" w:space="0" w:color="auto"/>
        <w:bottom w:val="none" w:sz="0" w:space="0" w:color="auto"/>
        <w:right w:val="none" w:sz="0" w:space="0" w:color="auto"/>
      </w:divBdr>
      <w:divsChild>
        <w:div w:id="1554535581">
          <w:marLeft w:val="0"/>
          <w:marRight w:val="0"/>
          <w:marTop w:val="0"/>
          <w:marBottom w:val="0"/>
          <w:divBdr>
            <w:top w:val="none" w:sz="0" w:space="0" w:color="auto"/>
            <w:left w:val="none" w:sz="0" w:space="0" w:color="auto"/>
            <w:bottom w:val="none" w:sz="0" w:space="0" w:color="auto"/>
            <w:right w:val="none" w:sz="0" w:space="0" w:color="auto"/>
          </w:divBdr>
          <w:divsChild>
            <w:div w:id="644550419">
              <w:marLeft w:val="0"/>
              <w:marRight w:val="0"/>
              <w:marTop w:val="0"/>
              <w:marBottom w:val="0"/>
              <w:divBdr>
                <w:top w:val="none" w:sz="0" w:space="0" w:color="auto"/>
                <w:left w:val="none" w:sz="0" w:space="0" w:color="auto"/>
                <w:bottom w:val="none" w:sz="0" w:space="0" w:color="auto"/>
                <w:right w:val="none" w:sz="0" w:space="0" w:color="auto"/>
              </w:divBdr>
              <w:divsChild>
                <w:div w:id="632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65222">
      <w:bodyDiv w:val="1"/>
      <w:marLeft w:val="0"/>
      <w:marRight w:val="0"/>
      <w:marTop w:val="0"/>
      <w:marBottom w:val="0"/>
      <w:divBdr>
        <w:top w:val="none" w:sz="0" w:space="0" w:color="auto"/>
        <w:left w:val="none" w:sz="0" w:space="0" w:color="auto"/>
        <w:bottom w:val="none" w:sz="0" w:space="0" w:color="auto"/>
        <w:right w:val="none" w:sz="0" w:space="0" w:color="auto"/>
      </w:divBdr>
    </w:div>
    <w:div w:id="890650160">
      <w:bodyDiv w:val="1"/>
      <w:marLeft w:val="0"/>
      <w:marRight w:val="0"/>
      <w:marTop w:val="0"/>
      <w:marBottom w:val="0"/>
      <w:divBdr>
        <w:top w:val="none" w:sz="0" w:space="0" w:color="auto"/>
        <w:left w:val="none" w:sz="0" w:space="0" w:color="auto"/>
        <w:bottom w:val="none" w:sz="0" w:space="0" w:color="auto"/>
        <w:right w:val="none" w:sz="0" w:space="0" w:color="auto"/>
      </w:divBdr>
    </w:div>
    <w:div w:id="993484772">
      <w:bodyDiv w:val="1"/>
      <w:marLeft w:val="0"/>
      <w:marRight w:val="0"/>
      <w:marTop w:val="0"/>
      <w:marBottom w:val="0"/>
      <w:divBdr>
        <w:top w:val="none" w:sz="0" w:space="0" w:color="auto"/>
        <w:left w:val="none" w:sz="0" w:space="0" w:color="auto"/>
        <w:bottom w:val="none" w:sz="0" w:space="0" w:color="auto"/>
        <w:right w:val="none" w:sz="0" w:space="0" w:color="auto"/>
      </w:divBdr>
    </w:div>
    <w:div w:id="1032341338">
      <w:bodyDiv w:val="1"/>
      <w:marLeft w:val="0"/>
      <w:marRight w:val="0"/>
      <w:marTop w:val="0"/>
      <w:marBottom w:val="0"/>
      <w:divBdr>
        <w:top w:val="none" w:sz="0" w:space="0" w:color="auto"/>
        <w:left w:val="none" w:sz="0" w:space="0" w:color="auto"/>
        <w:bottom w:val="none" w:sz="0" w:space="0" w:color="auto"/>
        <w:right w:val="none" w:sz="0" w:space="0" w:color="auto"/>
      </w:divBdr>
      <w:divsChild>
        <w:div w:id="922646231">
          <w:marLeft w:val="0"/>
          <w:marRight w:val="0"/>
          <w:marTop w:val="0"/>
          <w:marBottom w:val="0"/>
          <w:divBdr>
            <w:top w:val="none" w:sz="0" w:space="0" w:color="auto"/>
            <w:left w:val="none" w:sz="0" w:space="0" w:color="auto"/>
            <w:bottom w:val="none" w:sz="0" w:space="0" w:color="auto"/>
            <w:right w:val="none" w:sz="0" w:space="0" w:color="auto"/>
          </w:divBdr>
          <w:divsChild>
            <w:div w:id="2097284061">
              <w:marLeft w:val="0"/>
              <w:marRight w:val="0"/>
              <w:marTop w:val="0"/>
              <w:marBottom w:val="0"/>
              <w:divBdr>
                <w:top w:val="none" w:sz="0" w:space="0" w:color="auto"/>
                <w:left w:val="none" w:sz="0" w:space="0" w:color="auto"/>
                <w:bottom w:val="none" w:sz="0" w:space="0" w:color="auto"/>
                <w:right w:val="none" w:sz="0" w:space="0" w:color="auto"/>
              </w:divBdr>
              <w:divsChild>
                <w:div w:id="1570070995">
                  <w:marLeft w:val="0"/>
                  <w:marRight w:val="0"/>
                  <w:marTop w:val="0"/>
                  <w:marBottom w:val="0"/>
                  <w:divBdr>
                    <w:top w:val="none" w:sz="0" w:space="0" w:color="auto"/>
                    <w:left w:val="none" w:sz="0" w:space="0" w:color="auto"/>
                    <w:bottom w:val="none" w:sz="0" w:space="0" w:color="auto"/>
                    <w:right w:val="none" w:sz="0" w:space="0" w:color="auto"/>
                  </w:divBdr>
                </w:div>
                <w:div w:id="3349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5007">
      <w:bodyDiv w:val="1"/>
      <w:marLeft w:val="0"/>
      <w:marRight w:val="0"/>
      <w:marTop w:val="0"/>
      <w:marBottom w:val="0"/>
      <w:divBdr>
        <w:top w:val="none" w:sz="0" w:space="0" w:color="auto"/>
        <w:left w:val="none" w:sz="0" w:space="0" w:color="auto"/>
        <w:bottom w:val="none" w:sz="0" w:space="0" w:color="auto"/>
        <w:right w:val="none" w:sz="0" w:space="0" w:color="auto"/>
      </w:divBdr>
    </w:div>
    <w:div w:id="1111819029">
      <w:bodyDiv w:val="1"/>
      <w:marLeft w:val="0"/>
      <w:marRight w:val="0"/>
      <w:marTop w:val="0"/>
      <w:marBottom w:val="0"/>
      <w:divBdr>
        <w:top w:val="none" w:sz="0" w:space="0" w:color="auto"/>
        <w:left w:val="none" w:sz="0" w:space="0" w:color="auto"/>
        <w:bottom w:val="none" w:sz="0" w:space="0" w:color="auto"/>
        <w:right w:val="none" w:sz="0" w:space="0" w:color="auto"/>
      </w:divBdr>
      <w:divsChild>
        <w:div w:id="585303756">
          <w:marLeft w:val="0"/>
          <w:marRight w:val="0"/>
          <w:marTop w:val="0"/>
          <w:marBottom w:val="0"/>
          <w:divBdr>
            <w:top w:val="none" w:sz="0" w:space="0" w:color="auto"/>
            <w:left w:val="none" w:sz="0" w:space="0" w:color="auto"/>
            <w:bottom w:val="none" w:sz="0" w:space="0" w:color="auto"/>
            <w:right w:val="none" w:sz="0" w:space="0" w:color="auto"/>
          </w:divBdr>
          <w:divsChild>
            <w:div w:id="1169829605">
              <w:marLeft w:val="0"/>
              <w:marRight w:val="0"/>
              <w:marTop w:val="0"/>
              <w:marBottom w:val="0"/>
              <w:divBdr>
                <w:top w:val="none" w:sz="0" w:space="0" w:color="auto"/>
                <w:left w:val="none" w:sz="0" w:space="0" w:color="auto"/>
                <w:bottom w:val="none" w:sz="0" w:space="0" w:color="auto"/>
                <w:right w:val="none" w:sz="0" w:space="0" w:color="auto"/>
              </w:divBdr>
              <w:divsChild>
                <w:div w:id="52259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47420">
      <w:bodyDiv w:val="1"/>
      <w:marLeft w:val="0"/>
      <w:marRight w:val="0"/>
      <w:marTop w:val="0"/>
      <w:marBottom w:val="0"/>
      <w:divBdr>
        <w:top w:val="none" w:sz="0" w:space="0" w:color="auto"/>
        <w:left w:val="none" w:sz="0" w:space="0" w:color="auto"/>
        <w:bottom w:val="none" w:sz="0" w:space="0" w:color="auto"/>
        <w:right w:val="none" w:sz="0" w:space="0" w:color="auto"/>
      </w:divBdr>
    </w:div>
    <w:div w:id="1451969530">
      <w:bodyDiv w:val="1"/>
      <w:marLeft w:val="0"/>
      <w:marRight w:val="0"/>
      <w:marTop w:val="0"/>
      <w:marBottom w:val="0"/>
      <w:divBdr>
        <w:top w:val="none" w:sz="0" w:space="0" w:color="auto"/>
        <w:left w:val="none" w:sz="0" w:space="0" w:color="auto"/>
        <w:bottom w:val="none" w:sz="0" w:space="0" w:color="auto"/>
        <w:right w:val="none" w:sz="0" w:space="0" w:color="auto"/>
      </w:divBdr>
    </w:div>
    <w:div w:id="1460606252">
      <w:bodyDiv w:val="1"/>
      <w:marLeft w:val="0"/>
      <w:marRight w:val="0"/>
      <w:marTop w:val="0"/>
      <w:marBottom w:val="0"/>
      <w:divBdr>
        <w:top w:val="none" w:sz="0" w:space="0" w:color="auto"/>
        <w:left w:val="none" w:sz="0" w:space="0" w:color="auto"/>
        <w:bottom w:val="none" w:sz="0" w:space="0" w:color="auto"/>
        <w:right w:val="none" w:sz="0" w:space="0" w:color="auto"/>
      </w:divBdr>
    </w:div>
    <w:div w:id="1614555292">
      <w:bodyDiv w:val="1"/>
      <w:marLeft w:val="0"/>
      <w:marRight w:val="0"/>
      <w:marTop w:val="0"/>
      <w:marBottom w:val="0"/>
      <w:divBdr>
        <w:top w:val="none" w:sz="0" w:space="0" w:color="auto"/>
        <w:left w:val="none" w:sz="0" w:space="0" w:color="auto"/>
        <w:bottom w:val="none" w:sz="0" w:space="0" w:color="auto"/>
        <w:right w:val="none" w:sz="0" w:space="0" w:color="auto"/>
      </w:divBdr>
      <w:divsChild>
        <w:div w:id="551356205">
          <w:marLeft w:val="0"/>
          <w:marRight w:val="0"/>
          <w:marTop w:val="0"/>
          <w:marBottom w:val="0"/>
          <w:divBdr>
            <w:top w:val="none" w:sz="0" w:space="0" w:color="auto"/>
            <w:left w:val="none" w:sz="0" w:space="0" w:color="auto"/>
            <w:bottom w:val="none" w:sz="0" w:space="0" w:color="auto"/>
            <w:right w:val="none" w:sz="0" w:space="0" w:color="auto"/>
          </w:divBdr>
          <w:divsChild>
            <w:div w:id="516845126">
              <w:marLeft w:val="0"/>
              <w:marRight w:val="0"/>
              <w:marTop w:val="0"/>
              <w:marBottom w:val="0"/>
              <w:divBdr>
                <w:top w:val="none" w:sz="0" w:space="0" w:color="auto"/>
                <w:left w:val="none" w:sz="0" w:space="0" w:color="auto"/>
                <w:bottom w:val="none" w:sz="0" w:space="0" w:color="auto"/>
                <w:right w:val="none" w:sz="0" w:space="0" w:color="auto"/>
              </w:divBdr>
              <w:divsChild>
                <w:div w:id="4564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5284">
      <w:bodyDiv w:val="1"/>
      <w:marLeft w:val="0"/>
      <w:marRight w:val="0"/>
      <w:marTop w:val="0"/>
      <w:marBottom w:val="0"/>
      <w:divBdr>
        <w:top w:val="none" w:sz="0" w:space="0" w:color="auto"/>
        <w:left w:val="none" w:sz="0" w:space="0" w:color="auto"/>
        <w:bottom w:val="none" w:sz="0" w:space="0" w:color="auto"/>
        <w:right w:val="none" w:sz="0" w:space="0" w:color="auto"/>
      </w:divBdr>
    </w:div>
    <w:div w:id="1678267716">
      <w:bodyDiv w:val="1"/>
      <w:marLeft w:val="0"/>
      <w:marRight w:val="0"/>
      <w:marTop w:val="0"/>
      <w:marBottom w:val="0"/>
      <w:divBdr>
        <w:top w:val="none" w:sz="0" w:space="0" w:color="auto"/>
        <w:left w:val="none" w:sz="0" w:space="0" w:color="auto"/>
        <w:bottom w:val="none" w:sz="0" w:space="0" w:color="auto"/>
        <w:right w:val="none" w:sz="0" w:space="0" w:color="auto"/>
      </w:divBdr>
    </w:div>
    <w:div w:id="2055536693">
      <w:bodyDiv w:val="1"/>
      <w:marLeft w:val="0"/>
      <w:marRight w:val="0"/>
      <w:marTop w:val="0"/>
      <w:marBottom w:val="0"/>
      <w:divBdr>
        <w:top w:val="none" w:sz="0" w:space="0" w:color="auto"/>
        <w:left w:val="none" w:sz="0" w:space="0" w:color="auto"/>
        <w:bottom w:val="none" w:sz="0" w:space="0" w:color="auto"/>
        <w:right w:val="none" w:sz="0" w:space="0" w:color="auto"/>
      </w:divBdr>
    </w:div>
    <w:div w:id="2121103654">
      <w:bodyDiv w:val="1"/>
      <w:marLeft w:val="0"/>
      <w:marRight w:val="0"/>
      <w:marTop w:val="0"/>
      <w:marBottom w:val="0"/>
      <w:divBdr>
        <w:top w:val="none" w:sz="0" w:space="0" w:color="auto"/>
        <w:left w:val="none" w:sz="0" w:space="0" w:color="auto"/>
        <w:bottom w:val="none" w:sz="0" w:space="0" w:color="auto"/>
        <w:right w:val="none" w:sz="0" w:space="0" w:color="auto"/>
      </w:divBdr>
    </w:div>
    <w:div w:id="21427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rotrends.net"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https://bit.ly/3g8RT2L" TargetMode="External"/><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C74E7-35DC-8E45-A6F6-9B4446DC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Medina</dc:creator>
  <cp:keywords/>
  <dc:description/>
  <cp:lastModifiedBy>Jose Medina</cp:lastModifiedBy>
  <cp:revision>57</cp:revision>
  <dcterms:created xsi:type="dcterms:W3CDTF">2021-04-15T14:41:00Z</dcterms:created>
  <dcterms:modified xsi:type="dcterms:W3CDTF">2021-04-15T16:27:00Z</dcterms:modified>
</cp:coreProperties>
</file>